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E054" w14:textId="242AF2E2" w:rsidR="00093493" w:rsidRPr="007F1191" w:rsidRDefault="007F1191" w:rsidP="007F1191">
      <w:pPr>
        <w:pStyle w:val="titlefront"/>
        <w:spacing w:before="0"/>
        <w:ind w:left="0"/>
        <w:jc w:val="left"/>
        <w:outlineLvl w:val="0"/>
        <w:rPr>
          <w:rFonts w:ascii="Arial" w:hAnsi="Arial" w:cs="Arial"/>
          <w:noProof/>
          <w:sz w:val="22"/>
          <w:szCs w:val="22"/>
        </w:rPr>
      </w:pPr>
      <w:r w:rsidRPr="007F1191">
        <w:rPr>
          <w:rFonts w:ascii="Arial" w:hAnsi="Arial" w:cs="Arial"/>
          <w:noProof/>
          <w:sz w:val="22"/>
          <w:szCs w:val="22"/>
        </w:rPr>
        <w:t xml:space="preserve">ANNEX 4: </w:t>
      </w:r>
      <w:r w:rsidR="00843575" w:rsidRPr="007F1191">
        <w:rPr>
          <w:rFonts w:ascii="Arial" w:hAnsi="Arial" w:cs="Arial"/>
          <w:noProof/>
          <w:sz w:val="22"/>
          <w:szCs w:val="22"/>
        </w:rPr>
        <w:t>EVALUATION REPORT</w:t>
      </w:r>
      <w:r w:rsidRPr="007F1191">
        <w:rPr>
          <w:rFonts w:ascii="Arial" w:hAnsi="Arial" w:cs="Arial"/>
          <w:noProof/>
          <w:sz w:val="22"/>
          <w:szCs w:val="22"/>
        </w:rPr>
        <w:t xml:space="preserve"> TEMPLATE – PRICE</w:t>
      </w:r>
    </w:p>
    <w:p w14:paraId="0E711D5F" w14:textId="77777777" w:rsidR="007F1191" w:rsidRPr="0071331F" w:rsidRDefault="007F1191" w:rsidP="007F1191">
      <w:pPr>
        <w:pStyle w:val="titlefront"/>
        <w:spacing w:before="0"/>
        <w:ind w:left="0"/>
        <w:jc w:val="left"/>
        <w:outlineLvl w:val="0"/>
        <w:rPr>
          <w:rFonts w:ascii="Arial" w:hAnsi="Arial" w:cs="Arial"/>
        </w:rPr>
      </w:pPr>
    </w:p>
    <w:p w14:paraId="1900E055" w14:textId="77777777" w:rsidR="00093493" w:rsidRPr="0071331F" w:rsidRDefault="00093493">
      <w:pPr>
        <w:jc w:val="center"/>
        <w:rPr>
          <w:rFonts w:ascii="Arial" w:hAnsi="Arial" w:cs="Arial"/>
          <w:b/>
          <w:lang w:val="en-GB"/>
        </w:rPr>
      </w:pPr>
    </w:p>
    <w:p w14:paraId="1900E056" w14:textId="77777777" w:rsidR="00093493" w:rsidRPr="007F1191" w:rsidRDefault="00093493">
      <w:pPr>
        <w:jc w:val="center"/>
        <w:rPr>
          <w:rFonts w:ascii="Arial" w:hAnsi="Arial" w:cs="Arial"/>
          <w:b/>
          <w:sz w:val="20"/>
          <w:lang w:val="en-GB"/>
        </w:rPr>
      </w:pPr>
      <w:r w:rsidRPr="007F1191">
        <w:rPr>
          <w:rFonts w:ascii="Arial" w:hAnsi="Arial" w:cs="Arial"/>
          <w:b/>
          <w:sz w:val="20"/>
          <w:lang w:val="en-GB"/>
        </w:rPr>
        <w:t xml:space="preserve">PUBLICATION REF.: </w:t>
      </w:r>
      <w:r w:rsidR="00A97A03" w:rsidRPr="007F1191">
        <w:rPr>
          <w:rFonts w:ascii="Arial" w:hAnsi="Arial" w:cs="Arial"/>
          <w:b/>
          <w:sz w:val="20"/>
          <w:highlight w:val="yellow"/>
          <w:lang w:val="en-GB"/>
        </w:rPr>
        <w:t>[Ref Number]</w:t>
      </w:r>
      <w:r w:rsidR="00B81708" w:rsidRPr="007F1191">
        <w:rPr>
          <w:rFonts w:ascii="Arial" w:hAnsi="Arial" w:cs="Arial"/>
          <w:b/>
          <w:sz w:val="20"/>
          <w:lang w:val="en-GB"/>
        </w:rPr>
        <w:t xml:space="preserve"> and Title</w:t>
      </w:r>
      <w:r w:rsidRPr="007F1191">
        <w:rPr>
          <w:rFonts w:ascii="Arial" w:hAnsi="Arial" w:cs="Arial"/>
          <w:b/>
          <w:sz w:val="20"/>
          <w:lang w:val="en-GB"/>
        </w:rPr>
        <w:br/>
      </w:r>
    </w:p>
    <w:p w14:paraId="3C732A9E" w14:textId="77777777" w:rsidR="007F1191" w:rsidRPr="007F1191" w:rsidRDefault="007F1191">
      <w:pPr>
        <w:jc w:val="center"/>
        <w:rPr>
          <w:rFonts w:ascii="Arial" w:hAnsi="Arial" w:cs="Arial"/>
          <w:b/>
          <w:sz w:val="20"/>
          <w:lang w:val="en-GB"/>
        </w:rPr>
      </w:pPr>
    </w:p>
    <w:p w14:paraId="3785074E" w14:textId="77777777" w:rsidR="007F1191" w:rsidRPr="007F1191" w:rsidRDefault="007F1191">
      <w:pPr>
        <w:jc w:val="center"/>
        <w:rPr>
          <w:rFonts w:ascii="Arial" w:hAnsi="Arial" w:cs="Arial"/>
          <w:b/>
          <w:sz w:val="20"/>
          <w:lang w:val="en-GB"/>
        </w:rPr>
      </w:pPr>
    </w:p>
    <w:p w14:paraId="386ABF5A" w14:textId="745166DC" w:rsidR="007F1191" w:rsidRPr="007F1191" w:rsidRDefault="00093493">
      <w:pPr>
        <w:ind w:left="2835" w:hanging="1701"/>
        <w:rPr>
          <w:rFonts w:ascii="Arial" w:hAnsi="Arial" w:cs="Arial"/>
          <w:sz w:val="20"/>
          <w:lang w:val="en-GB"/>
        </w:rPr>
      </w:pPr>
      <w:r w:rsidRPr="007F1191">
        <w:rPr>
          <w:rFonts w:ascii="Arial" w:hAnsi="Arial" w:cs="Arial"/>
          <w:b/>
          <w:sz w:val="20"/>
          <w:lang w:val="en-GB"/>
        </w:rPr>
        <w:t>Contents:</w:t>
      </w:r>
      <w:r w:rsidRPr="007F1191">
        <w:rPr>
          <w:rFonts w:ascii="Arial" w:hAnsi="Arial" w:cs="Arial"/>
          <w:sz w:val="20"/>
          <w:lang w:val="en-GB"/>
        </w:rPr>
        <w:tab/>
        <w:t>Evaluation</w:t>
      </w:r>
      <w:r w:rsidRPr="007F1191">
        <w:rPr>
          <w:rFonts w:ascii="Arial" w:hAnsi="Arial" w:cs="Arial"/>
          <w:sz w:val="20"/>
          <w:lang w:val="en-GB"/>
        </w:rPr>
        <w:br/>
        <w:t>- Preparatory session</w:t>
      </w:r>
      <w:r w:rsidRPr="007F1191">
        <w:rPr>
          <w:rFonts w:ascii="Arial" w:hAnsi="Arial" w:cs="Arial"/>
          <w:sz w:val="20"/>
          <w:lang w:val="en-GB"/>
        </w:rPr>
        <w:br/>
      </w:r>
      <w:r w:rsidR="007F1191" w:rsidRPr="007F1191">
        <w:rPr>
          <w:rFonts w:ascii="Arial" w:hAnsi="Arial" w:cs="Arial"/>
          <w:sz w:val="20"/>
          <w:lang w:val="en-GB"/>
        </w:rPr>
        <w:t xml:space="preserve">- Summary of Offers received </w:t>
      </w:r>
    </w:p>
    <w:p w14:paraId="1900E057" w14:textId="4BDB5578" w:rsidR="00093493" w:rsidRPr="007F1191" w:rsidRDefault="00093493" w:rsidP="007F1191">
      <w:pPr>
        <w:ind w:left="2835"/>
        <w:rPr>
          <w:rFonts w:ascii="Arial" w:hAnsi="Arial" w:cs="Arial"/>
          <w:sz w:val="20"/>
          <w:lang w:val="en-GB"/>
        </w:rPr>
      </w:pPr>
      <w:r w:rsidRPr="007F1191">
        <w:rPr>
          <w:rFonts w:ascii="Arial" w:hAnsi="Arial" w:cs="Arial"/>
          <w:sz w:val="20"/>
          <w:lang w:val="en-GB"/>
        </w:rPr>
        <w:t>- Administrative compliance</w:t>
      </w:r>
      <w:r w:rsidRPr="007F1191">
        <w:rPr>
          <w:rFonts w:ascii="Arial" w:hAnsi="Arial" w:cs="Arial"/>
          <w:sz w:val="20"/>
          <w:lang w:val="en-GB"/>
        </w:rPr>
        <w:br/>
        <w:t>- Technical compliance</w:t>
      </w:r>
      <w:r w:rsidRPr="007F1191">
        <w:rPr>
          <w:rFonts w:ascii="Arial" w:hAnsi="Arial" w:cs="Arial"/>
          <w:sz w:val="20"/>
          <w:lang w:val="en-GB"/>
        </w:rPr>
        <w:br/>
        <w:t>- Financial evaluation</w:t>
      </w:r>
      <w:r w:rsidRPr="007F1191">
        <w:rPr>
          <w:rFonts w:ascii="Arial" w:hAnsi="Arial" w:cs="Arial"/>
          <w:sz w:val="20"/>
          <w:lang w:val="en-GB"/>
        </w:rPr>
        <w:br/>
        <w:t>Conclusion</w:t>
      </w:r>
      <w:r w:rsidRPr="007F1191">
        <w:rPr>
          <w:rFonts w:ascii="Arial" w:hAnsi="Arial" w:cs="Arial"/>
          <w:sz w:val="20"/>
          <w:lang w:val="en-GB"/>
        </w:rPr>
        <w:br/>
        <w:t>Signatures</w:t>
      </w:r>
    </w:p>
    <w:p w14:paraId="1900E058" w14:textId="77777777" w:rsidR="00093493" w:rsidRPr="007F1191" w:rsidRDefault="00093493">
      <w:pPr>
        <w:ind w:left="2835" w:hanging="1701"/>
        <w:rPr>
          <w:rFonts w:ascii="Arial" w:hAnsi="Arial" w:cs="Arial"/>
          <w:sz w:val="20"/>
          <w:lang w:val="en-GB"/>
        </w:rPr>
      </w:pPr>
    </w:p>
    <w:p w14:paraId="1900E059" w14:textId="33F96735" w:rsidR="00F25BCA" w:rsidRPr="007F1191" w:rsidRDefault="00093493" w:rsidP="00843575">
      <w:pPr>
        <w:tabs>
          <w:tab w:val="left" w:pos="4032"/>
        </w:tabs>
        <w:spacing w:before="60" w:after="60"/>
        <w:ind w:left="2835" w:hanging="1701"/>
        <w:jc w:val="both"/>
        <w:rPr>
          <w:rFonts w:ascii="Arial" w:hAnsi="Arial" w:cs="Arial"/>
          <w:sz w:val="20"/>
          <w:lang w:val="en-GB"/>
        </w:rPr>
      </w:pPr>
      <w:r w:rsidRPr="007F1191">
        <w:rPr>
          <w:rFonts w:ascii="Arial" w:hAnsi="Arial" w:cs="Arial"/>
          <w:b/>
          <w:sz w:val="20"/>
          <w:lang w:val="en-GB"/>
        </w:rPr>
        <w:t>Annexes:</w:t>
      </w:r>
      <w:r w:rsidRPr="007F1191">
        <w:rPr>
          <w:rFonts w:ascii="Arial" w:hAnsi="Arial" w:cs="Arial"/>
          <w:sz w:val="20"/>
          <w:lang w:val="en-GB"/>
        </w:rPr>
        <w:tab/>
      </w:r>
      <w:r w:rsidR="00A97A03" w:rsidRPr="007F1191">
        <w:rPr>
          <w:rFonts w:ascii="Arial" w:hAnsi="Arial" w:cs="Arial"/>
          <w:sz w:val="20"/>
          <w:lang w:val="en-GB"/>
        </w:rPr>
        <w:t>Annex I:</w:t>
      </w:r>
      <w:r w:rsidR="00843575" w:rsidRPr="007F1191">
        <w:rPr>
          <w:rFonts w:ascii="Arial" w:hAnsi="Arial" w:cs="Arial"/>
          <w:sz w:val="20"/>
          <w:lang w:val="en-GB"/>
        </w:rPr>
        <w:tab/>
      </w:r>
      <w:r w:rsidR="007F1191" w:rsidRPr="007F1191">
        <w:rPr>
          <w:rFonts w:ascii="Arial" w:hAnsi="Arial" w:cs="Arial"/>
          <w:sz w:val="20"/>
          <w:lang w:val="en-GB"/>
        </w:rPr>
        <w:t>Summary of</w:t>
      </w:r>
      <w:r w:rsidR="00224D89" w:rsidRPr="007F1191">
        <w:rPr>
          <w:rFonts w:ascii="Arial" w:hAnsi="Arial" w:cs="Arial"/>
          <w:sz w:val="20"/>
          <w:lang w:val="en-GB"/>
        </w:rPr>
        <w:t xml:space="preserve"> Offers</w:t>
      </w:r>
      <w:r w:rsidR="009568EC" w:rsidRPr="007F1191">
        <w:rPr>
          <w:rFonts w:ascii="Arial" w:hAnsi="Arial" w:cs="Arial"/>
          <w:sz w:val="20"/>
          <w:lang w:val="en-GB"/>
        </w:rPr>
        <w:t xml:space="preserve"> received</w:t>
      </w:r>
    </w:p>
    <w:p w14:paraId="1900E05A" w14:textId="77777777" w:rsidR="00F25BCA" w:rsidRPr="007F1191" w:rsidRDefault="00A97A03" w:rsidP="00843575">
      <w:pPr>
        <w:tabs>
          <w:tab w:val="left" w:pos="4032"/>
        </w:tabs>
        <w:spacing w:before="60" w:after="60"/>
        <w:ind w:left="4046" w:hanging="1211"/>
        <w:jc w:val="both"/>
        <w:rPr>
          <w:rFonts w:ascii="Arial" w:hAnsi="Arial" w:cs="Arial"/>
          <w:sz w:val="20"/>
          <w:lang w:val="en-GB"/>
        </w:rPr>
      </w:pPr>
      <w:r w:rsidRPr="007F1191">
        <w:rPr>
          <w:rFonts w:ascii="Arial" w:hAnsi="Arial" w:cs="Arial"/>
          <w:sz w:val="20"/>
          <w:lang w:val="en-GB"/>
        </w:rPr>
        <w:t>Annex</w:t>
      </w:r>
      <w:r w:rsidR="005C05C9" w:rsidRPr="007F1191">
        <w:rPr>
          <w:rFonts w:ascii="Arial" w:hAnsi="Arial" w:cs="Arial"/>
          <w:sz w:val="20"/>
          <w:lang w:val="en-GB"/>
        </w:rPr>
        <w:t xml:space="preserve"> II:</w:t>
      </w:r>
      <w:r w:rsidR="00843575" w:rsidRPr="007F1191">
        <w:rPr>
          <w:rFonts w:ascii="Arial" w:hAnsi="Arial" w:cs="Arial"/>
          <w:sz w:val="20"/>
          <w:lang w:val="en-GB"/>
        </w:rPr>
        <w:tab/>
      </w:r>
      <w:r w:rsidR="005C05C9" w:rsidRPr="007F1191">
        <w:rPr>
          <w:rFonts w:ascii="Arial" w:hAnsi="Arial" w:cs="Arial"/>
          <w:sz w:val="20"/>
          <w:lang w:val="en-GB"/>
        </w:rPr>
        <w:t>Exchange of clarifications’ correspondence</w:t>
      </w:r>
      <w:r w:rsidRPr="007F1191">
        <w:rPr>
          <w:rFonts w:ascii="Arial" w:hAnsi="Arial" w:cs="Arial"/>
          <w:sz w:val="20"/>
          <w:lang w:val="en-GB"/>
        </w:rPr>
        <w:t xml:space="preserve"> (if applicable)</w:t>
      </w:r>
    </w:p>
    <w:p w14:paraId="1900E05B" w14:textId="77777777" w:rsidR="00F25BCA" w:rsidRPr="007F1191" w:rsidRDefault="00A97A03" w:rsidP="00843575">
      <w:pPr>
        <w:tabs>
          <w:tab w:val="left" w:pos="4032"/>
        </w:tabs>
        <w:spacing w:before="60" w:after="60"/>
        <w:ind w:left="4046" w:hanging="1211"/>
        <w:jc w:val="both"/>
        <w:rPr>
          <w:rFonts w:ascii="Arial" w:hAnsi="Arial" w:cs="Arial"/>
          <w:sz w:val="20"/>
          <w:lang w:val="en-GB"/>
        </w:rPr>
      </w:pPr>
      <w:r w:rsidRPr="007F1191">
        <w:rPr>
          <w:rFonts w:ascii="Arial" w:hAnsi="Arial" w:cs="Arial"/>
          <w:sz w:val="20"/>
          <w:lang w:val="en-GB"/>
        </w:rPr>
        <w:t>Annex I</w:t>
      </w:r>
      <w:r w:rsidR="001E6D69" w:rsidRPr="007F1191">
        <w:rPr>
          <w:rFonts w:ascii="Arial" w:hAnsi="Arial" w:cs="Arial"/>
          <w:sz w:val="20"/>
          <w:lang w:val="en-GB"/>
        </w:rPr>
        <w:t>II</w:t>
      </w:r>
      <w:r w:rsidRPr="007F1191">
        <w:rPr>
          <w:rFonts w:ascii="Arial" w:hAnsi="Arial" w:cs="Arial"/>
          <w:sz w:val="20"/>
          <w:lang w:val="en-GB"/>
        </w:rPr>
        <w:t>:</w:t>
      </w:r>
      <w:r w:rsidR="00843575" w:rsidRPr="007F1191">
        <w:rPr>
          <w:rFonts w:ascii="Arial" w:hAnsi="Arial" w:cs="Arial"/>
          <w:sz w:val="20"/>
          <w:lang w:val="en-GB"/>
        </w:rPr>
        <w:tab/>
      </w:r>
      <w:r w:rsidRPr="007F1191">
        <w:rPr>
          <w:rFonts w:ascii="Arial" w:hAnsi="Arial" w:cs="Arial"/>
          <w:sz w:val="20"/>
          <w:lang w:val="en-GB"/>
        </w:rPr>
        <w:t>D</w:t>
      </w:r>
      <w:r w:rsidR="006D42F8" w:rsidRPr="007F1191">
        <w:rPr>
          <w:rFonts w:ascii="Arial" w:hAnsi="Arial" w:cs="Arial"/>
          <w:sz w:val="20"/>
          <w:lang w:val="en-GB"/>
        </w:rPr>
        <w:t>eclarations of Impartiality and Confidentiality</w:t>
      </w:r>
      <w:r w:rsidR="008D0259" w:rsidRPr="007F1191">
        <w:rPr>
          <w:rFonts w:ascii="Arial" w:hAnsi="Arial" w:cs="Arial"/>
          <w:sz w:val="20"/>
          <w:lang w:val="en-GB"/>
        </w:rPr>
        <w:t xml:space="preserve"> </w:t>
      </w:r>
      <w:r w:rsidR="00B81708" w:rsidRPr="007F1191">
        <w:rPr>
          <w:rFonts w:ascii="Arial" w:hAnsi="Arial" w:cs="Arial"/>
          <w:sz w:val="20"/>
          <w:lang w:val="en-GB"/>
        </w:rPr>
        <w:t>of Evaluation Committee members including any Technical or Financial Experts</w:t>
      </w:r>
      <w:r w:rsidR="00EF3A2C" w:rsidRPr="007F1191">
        <w:rPr>
          <w:rFonts w:ascii="Arial" w:hAnsi="Arial" w:cs="Arial"/>
          <w:sz w:val="20"/>
          <w:lang w:val="en-GB"/>
        </w:rPr>
        <w:t xml:space="preserve"> and/or Observers</w:t>
      </w:r>
    </w:p>
    <w:p w14:paraId="1900E05D" w14:textId="01F928E9" w:rsidR="00276D36" w:rsidRPr="007F1191" w:rsidRDefault="00276D36" w:rsidP="00843575">
      <w:pPr>
        <w:tabs>
          <w:tab w:val="left" w:pos="4032"/>
        </w:tabs>
        <w:spacing w:before="60" w:after="60"/>
        <w:ind w:left="4046" w:hanging="1211"/>
        <w:jc w:val="both"/>
        <w:rPr>
          <w:rFonts w:ascii="Arial" w:hAnsi="Arial" w:cs="Arial"/>
          <w:sz w:val="20"/>
          <w:lang w:val="en-GB"/>
        </w:rPr>
      </w:pPr>
      <w:r w:rsidRPr="007F1191">
        <w:rPr>
          <w:rFonts w:ascii="Arial" w:hAnsi="Arial" w:cs="Arial"/>
          <w:sz w:val="20"/>
          <w:lang w:val="en-GB"/>
        </w:rPr>
        <w:t xml:space="preserve">Annex </w:t>
      </w:r>
      <w:r w:rsidR="007F1191" w:rsidRPr="007F1191">
        <w:rPr>
          <w:rFonts w:ascii="Arial" w:hAnsi="Arial" w:cs="Arial"/>
          <w:sz w:val="20"/>
          <w:lang w:val="en-GB"/>
        </w:rPr>
        <w:t>I</w:t>
      </w:r>
      <w:r w:rsidRPr="007F1191">
        <w:rPr>
          <w:rFonts w:ascii="Arial" w:hAnsi="Arial" w:cs="Arial"/>
          <w:sz w:val="20"/>
          <w:lang w:val="en-GB"/>
        </w:rPr>
        <w:t>V:</w:t>
      </w:r>
      <w:r w:rsidR="00843575" w:rsidRPr="007F1191">
        <w:rPr>
          <w:rFonts w:ascii="Arial" w:hAnsi="Arial" w:cs="Arial"/>
          <w:sz w:val="20"/>
          <w:lang w:val="en-GB"/>
        </w:rPr>
        <w:tab/>
      </w:r>
      <w:r w:rsidRPr="007F1191">
        <w:rPr>
          <w:rFonts w:ascii="Arial" w:hAnsi="Arial" w:cs="Arial"/>
          <w:sz w:val="20"/>
          <w:lang w:val="en-GB"/>
        </w:rPr>
        <w:t>Justifications for decisions taken by the Evaluation Committee including documentary evidence (if applicable)</w:t>
      </w:r>
    </w:p>
    <w:p w14:paraId="1900E05E" w14:textId="4EA31F27" w:rsidR="00F25BCA" w:rsidRPr="007F1191" w:rsidRDefault="00BA390F" w:rsidP="00843575">
      <w:pPr>
        <w:tabs>
          <w:tab w:val="left" w:pos="4032"/>
        </w:tabs>
        <w:spacing w:before="60" w:after="60"/>
        <w:ind w:left="4046" w:hanging="1211"/>
        <w:jc w:val="both"/>
        <w:rPr>
          <w:rFonts w:ascii="Arial" w:hAnsi="Arial" w:cs="Arial"/>
          <w:sz w:val="20"/>
          <w:lang w:val="en-GB"/>
        </w:rPr>
      </w:pPr>
      <w:r w:rsidRPr="007F1191">
        <w:rPr>
          <w:rFonts w:ascii="Arial" w:hAnsi="Arial" w:cs="Arial"/>
          <w:sz w:val="20"/>
          <w:lang w:val="en-GB"/>
        </w:rPr>
        <w:t>Annex V:</w:t>
      </w:r>
      <w:r w:rsidR="00843575" w:rsidRPr="007F1191">
        <w:rPr>
          <w:rFonts w:ascii="Arial" w:hAnsi="Arial" w:cs="Arial"/>
          <w:sz w:val="20"/>
          <w:lang w:val="en-GB"/>
        </w:rPr>
        <w:tab/>
      </w:r>
      <w:r w:rsidR="008127D6" w:rsidRPr="007F1191">
        <w:rPr>
          <w:rFonts w:ascii="Arial" w:hAnsi="Arial" w:cs="Arial"/>
          <w:sz w:val="20"/>
          <w:lang w:val="en-GB"/>
        </w:rPr>
        <w:t>Receipts</w:t>
      </w:r>
      <w:r w:rsidRPr="007F1191">
        <w:rPr>
          <w:rFonts w:ascii="Arial" w:hAnsi="Arial" w:cs="Arial"/>
          <w:sz w:val="20"/>
          <w:lang w:val="en-GB"/>
        </w:rPr>
        <w:t xml:space="preserve"> of Samples received (if applicable)</w:t>
      </w:r>
    </w:p>
    <w:p w14:paraId="1900E05F" w14:textId="77777777" w:rsidR="00093493" w:rsidRPr="007F1191" w:rsidRDefault="00093493" w:rsidP="008D0259">
      <w:pPr>
        <w:ind w:left="2835" w:hanging="1701"/>
        <w:rPr>
          <w:rFonts w:ascii="Arial" w:hAnsi="Arial" w:cs="Arial"/>
          <w:sz w:val="20"/>
          <w:lang w:val="en-GB"/>
        </w:rPr>
      </w:pPr>
    </w:p>
    <w:p w14:paraId="1900E086" w14:textId="58F33F27" w:rsidR="00093493" w:rsidRPr="007F1191" w:rsidRDefault="007F1191" w:rsidP="007F1191">
      <w:pPr>
        <w:pStyle w:val="ListParagraph"/>
        <w:keepNext/>
        <w:numPr>
          <w:ilvl w:val="0"/>
          <w:numId w:val="34"/>
        </w:numPr>
        <w:jc w:val="both"/>
        <w:rPr>
          <w:rFonts w:ascii="Arial" w:hAnsi="Arial" w:cs="Arial"/>
          <w:b/>
          <w:sz w:val="20"/>
          <w:lang w:val="en-GB"/>
        </w:rPr>
      </w:pPr>
      <w:r w:rsidRPr="007F1191">
        <w:rPr>
          <w:rFonts w:ascii="Arial" w:hAnsi="Arial" w:cs="Arial"/>
          <w:b/>
          <w:sz w:val="20"/>
          <w:lang w:val="en-GB"/>
        </w:rPr>
        <w:t>EVALUATION</w:t>
      </w:r>
    </w:p>
    <w:p w14:paraId="1900E087" w14:textId="77777777" w:rsidR="00475909" w:rsidRPr="007F1191" w:rsidRDefault="00475909" w:rsidP="00475909">
      <w:pPr>
        <w:rPr>
          <w:rFonts w:ascii="Arial" w:hAnsi="Arial" w:cs="Arial"/>
          <w:sz w:val="20"/>
          <w:lang w:val="en-GB"/>
        </w:rPr>
      </w:pPr>
    </w:p>
    <w:p w14:paraId="1900E088" w14:textId="77777777" w:rsidR="0071331F" w:rsidRPr="007F1191" w:rsidRDefault="0071331F" w:rsidP="00475909">
      <w:pPr>
        <w:rPr>
          <w:rFonts w:ascii="Arial" w:hAnsi="Arial" w:cs="Arial"/>
          <w:sz w:val="20"/>
          <w:lang w:val="en-GB"/>
        </w:rPr>
      </w:pPr>
    </w:p>
    <w:p w14:paraId="1900E089" w14:textId="77777777" w:rsidR="00093493" w:rsidRPr="007F1191" w:rsidRDefault="00093493">
      <w:pPr>
        <w:keepNext/>
        <w:jc w:val="both"/>
        <w:rPr>
          <w:rFonts w:ascii="Arial" w:hAnsi="Arial" w:cs="Arial"/>
          <w:b/>
          <w:i/>
          <w:sz w:val="20"/>
          <w:lang w:val="en-GB"/>
        </w:rPr>
      </w:pPr>
      <w:r w:rsidRPr="007F1191">
        <w:rPr>
          <w:rFonts w:ascii="Arial" w:hAnsi="Arial" w:cs="Arial"/>
          <w:b/>
          <w:i/>
          <w:sz w:val="20"/>
          <w:lang w:val="en-GB"/>
        </w:rPr>
        <w:t>Preparatory session</w:t>
      </w:r>
    </w:p>
    <w:p w14:paraId="1900E08A" w14:textId="77777777" w:rsidR="00475909" w:rsidRPr="007F1191" w:rsidRDefault="00475909" w:rsidP="00475909">
      <w:pPr>
        <w:rPr>
          <w:rFonts w:ascii="Arial" w:hAnsi="Arial" w:cs="Arial"/>
          <w:sz w:val="20"/>
          <w:lang w:val="en-GB"/>
        </w:rPr>
      </w:pPr>
    </w:p>
    <w:p w14:paraId="1900E08B" w14:textId="77777777" w:rsidR="00224D89" w:rsidRPr="007F1191" w:rsidRDefault="00093493">
      <w:pPr>
        <w:jc w:val="both"/>
        <w:rPr>
          <w:rFonts w:ascii="Arial" w:hAnsi="Arial" w:cs="Arial"/>
          <w:sz w:val="20"/>
          <w:lang w:val="en-GB"/>
        </w:rPr>
      </w:pPr>
      <w:r w:rsidRPr="007F1191">
        <w:rPr>
          <w:rFonts w:ascii="Arial" w:hAnsi="Arial" w:cs="Arial"/>
          <w:sz w:val="20"/>
          <w:lang w:val="en-GB"/>
        </w:rPr>
        <w:t xml:space="preserve">The </w:t>
      </w:r>
      <w:r w:rsidR="0042283D" w:rsidRPr="007F1191">
        <w:rPr>
          <w:rFonts w:ascii="Arial" w:hAnsi="Arial" w:cs="Arial"/>
          <w:sz w:val="20"/>
          <w:lang w:val="en-GB"/>
        </w:rPr>
        <w:t xml:space="preserve">Chairperson </w:t>
      </w:r>
      <w:r w:rsidRPr="007F1191">
        <w:rPr>
          <w:rFonts w:ascii="Arial" w:hAnsi="Arial" w:cs="Arial"/>
          <w:sz w:val="20"/>
          <w:lang w:val="en-GB"/>
        </w:rPr>
        <w:t>informed the Evaluation Committee of the scope of the proposed contract, identified the organisations responsible for preparing the tender dossier, and summarised the essential features of the tender procedure to date.</w:t>
      </w:r>
    </w:p>
    <w:p w14:paraId="1900E08C" w14:textId="77777777" w:rsidR="00434888" w:rsidRPr="007F1191" w:rsidRDefault="00434888" w:rsidP="00475909">
      <w:pPr>
        <w:rPr>
          <w:rFonts w:ascii="Arial" w:hAnsi="Arial" w:cs="Arial"/>
          <w:sz w:val="20"/>
          <w:lang w:val="en-GB"/>
        </w:rPr>
      </w:pPr>
    </w:p>
    <w:p w14:paraId="1900E08D" w14:textId="77777777" w:rsidR="0071331F" w:rsidRPr="007F1191" w:rsidRDefault="0071331F" w:rsidP="00475909">
      <w:pPr>
        <w:rPr>
          <w:rFonts w:ascii="Arial" w:hAnsi="Arial" w:cs="Arial"/>
          <w:sz w:val="20"/>
          <w:lang w:val="en-GB"/>
        </w:rPr>
      </w:pPr>
    </w:p>
    <w:p w14:paraId="1900E08E" w14:textId="74C05934" w:rsidR="00093493" w:rsidRPr="007F1191" w:rsidRDefault="007F1191">
      <w:pPr>
        <w:keepNext/>
        <w:jc w:val="both"/>
        <w:rPr>
          <w:rFonts w:ascii="Arial" w:hAnsi="Arial" w:cs="Arial"/>
          <w:b/>
          <w:i/>
          <w:sz w:val="20"/>
          <w:lang w:val="en-GB"/>
        </w:rPr>
      </w:pPr>
      <w:r w:rsidRPr="007F1191">
        <w:rPr>
          <w:rFonts w:ascii="Arial" w:hAnsi="Arial" w:cs="Arial"/>
          <w:b/>
          <w:i/>
          <w:sz w:val="20"/>
          <w:lang w:val="en-GB"/>
        </w:rPr>
        <w:t>Summary of Offers received</w:t>
      </w:r>
    </w:p>
    <w:p w14:paraId="1900E08F" w14:textId="77777777" w:rsidR="00093493" w:rsidRPr="007F1191" w:rsidRDefault="00093493" w:rsidP="00475909">
      <w:pPr>
        <w:rPr>
          <w:rFonts w:ascii="Arial" w:hAnsi="Arial" w:cs="Arial"/>
          <w:sz w:val="20"/>
          <w:lang w:val="en-GB"/>
        </w:rPr>
      </w:pPr>
    </w:p>
    <w:p w14:paraId="3C5D50AF" w14:textId="77777777" w:rsidR="007F1191" w:rsidRDefault="00093493">
      <w:pPr>
        <w:keepNext/>
        <w:jc w:val="both"/>
        <w:rPr>
          <w:rFonts w:ascii="Arial" w:hAnsi="Arial" w:cs="Arial"/>
          <w:sz w:val="20"/>
          <w:lang w:val="en-GB"/>
        </w:rPr>
      </w:pPr>
      <w:r w:rsidRPr="007F1191">
        <w:rPr>
          <w:rFonts w:ascii="Arial" w:hAnsi="Arial" w:cs="Arial"/>
          <w:sz w:val="20"/>
          <w:lang w:val="en-GB"/>
        </w:rPr>
        <w:t xml:space="preserve">The </w:t>
      </w:r>
      <w:r w:rsidR="009568EC" w:rsidRPr="007F1191">
        <w:rPr>
          <w:rFonts w:ascii="Arial" w:hAnsi="Arial" w:cs="Arial"/>
          <w:sz w:val="20"/>
          <w:lang w:val="en-GB"/>
        </w:rPr>
        <w:t>S</w:t>
      </w:r>
      <w:r w:rsidR="007F1191" w:rsidRPr="007F1191">
        <w:rPr>
          <w:rFonts w:ascii="Arial" w:hAnsi="Arial" w:cs="Arial"/>
          <w:sz w:val="20"/>
          <w:lang w:val="en-GB"/>
        </w:rPr>
        <w:t xml:space="preserve">ummary of </w:t>
      </w:r>
      <w:r w:rsidR="009568EC" w:rsidRPr="007F1191">
        <w:rPr>
          <w:rFonts w:ascii="Arial" w:hAnsi="Arial" w:cs="Arial"/>
          <w:sz w:val="20"/>
          <w:lang w:val="en-GB"/>
        </w:rPr>
        <w:t xml:space="preserve">Offers received </w:t>
      </w:r>
      <w:r w:rsidR="007F1191" w:rsidRPr="007F1191">
        <w:rPr>
          <w:rFonts w:ascii="Arial" w:hAnsi="Arial" w:cs="Arial"/>
          <w:sz w:val="20"/>
          <w:lang w:val="en-GB"/>
        </w:rPr>
        <w:t>is</w:t>
      </w:r>
      <w:r w:rsidRPr="007F1191">
        <w:rPr>
          <w:rFonts w:ascii="Arial" w:hAnsi="Arial" w:cs="Arial"/>
          <w:sz w:val="20"/>
          <w:lang w:val="en-GB"/>
        </w:rPr>
        <w:t xml:space="preserve"> attached to this report</w:t>
      </w:r>
      <w:r w:rsidR="002442D1" w:rsidRPr="007F1191">
        <w:rPr>
          <w:rFonts w:ascii="Arial" w:hAnsi="Arial" w:cs="Arial"/>
          <w:sz w:val="20"/>
          <w:lang w:val="en-GB"/>
        </w:rPr>
        <w:t xml:space="preserve"> </w:t>
      </w:r>
      <w:r w:rsidR="008D0259" w:rsidRPr="007F1191">
        <w:rPr>
          <w:rFonts w:ascii="Arial" w:hAnsi="Arial" w:cs="Arial"/>
          <w:sz w:val="20"/>
          <w:lang w:val="en-GB"/>
        </w:rPr>
        <w:t xml:space="preserve">at </w:t>
      </w:r>
      <w:r w:rsidR="002442D1" w:rsidRPr="007F1191">
        <w:rPr>
          <w:rFonts w:ascii="Arial" w:hAnsi="Arial" w:cs="Arial"/>
          <w:b/>
          <w:sz w:val="20"/>
          <w:lang w:val="en-GB"/>
        </w:rPr>
        <w:t>Annex I</w:t>
      </w:r>
      <w:r w:rsidRPr="007F1191">
        <w:rPr>
          <w:rFonts w:ascii="Arial" w:hAnsi="Arial" w:cs="Arial"/>
          <w:sz w:val="20"/>
          <w:lang w:val="en-GB"/>
        </w:rPr>
        <w:t xml:space="preserve">. </w:t>
      </w:r>
      <w:r w:rsidR="007447BA" w:rsidRPr="007F1191">
        <w:rPr>
          <w:rFonts w:ascii="Arial" w:hAnsi="Arial" w:cs="Arial"/>
          <w:sz w:val="20"/>
          <w:lang w:val="en-GB"/>
        </w:rPr>
        <w:t xml:space="preserve"> </w:t>
      </w:r>
    </w:p>
    <w:p w14:paraId="3D0D1B59" w14:textId="77777777" w:rsidR="007F1191" w:rsidRDefault="007F1191">
      <w:pPr>
        <w:keepNext/>
        <w:jc w:val="both"/>
        <w:rPr>
          <w:rFonts w:ascii="Arial" w:hAnsi="Arial" w:cs="Arial"/>
          <w:sz w:val="20"/>
          <w:lang w:val="en-GB"/>
        </w:rPr>
      </w:pPr>
    </w:p>
    <w:p w14:paraId="1900E090" w14:textId="62ED1A0C" w:rsidR="007447BA" w:rsidRPr="007F1191" w:rsidRDefault="00D64343">
      <w:pPr>
        <w:keepNext/>
        <w:jc w:val="both"/>
        <w:rPr>
          <w:rFonts w:ascii="Arial" w:hAnsi="Arial" w:cs="Arial"/>
          <w:sz w:val="20"/>
          <w:lang w:val="en-GB"/>
        </w:rPr>
      </w:pPr>
      <w:r w:rsidRPr="007F1191">
        <w:rPr>
          <w:rFonts w:ascii="Arial" w:hAnsi="Arial" w:cs="Arial"/>
          <w:sz w:val="20"/>
          <w:highlight w:val="yellow"/>
          <w:lang w:val="en-GB"/>
        </w:rPr>
        <w:t>[Indicate</w:t>
      </w:r>
      <w:r w:rsidR="00E12CCF" w:rsidRPr="007F1191">
        <w:rPr>
          <w:rFonts w:ascii="Arial" w:hAnsi="Arial" w:cs="Arial"/>
          <w:sz w:val="20"/>
          <w:highlight w:val="yellow"/>
          <w:lang w:val="en-GB"/>
        </w:rPr>
        <w:t xml:space="preserve"> here the </w:t>
      </w:r>
      <w:r w:rsidR="003475BA" w:rsidRPr="007F1191">
        <w:rPr>
          <w:rFonts w:ascii="Arial" w:hAnsi="Arial" w:cs="Arial"/>
          <w:sz w:val="20"/>
          <w:highlight w:val="yellow"/>
          <w:lang w:val="en-GB"/>
        </w:rPr>
        <w:t xml:space="preserve">details and the </w:t>
      </w:r>
      <w:r w:rsidRPr="007F1191">
        <w:rPr>
          <w:rFonts w:ascii="Arial" w:hAnsi="Arial" w:cs="Arial"/>
          <w:sz w:val="20"/>
          <w:highlight w:val="yellow"/>
          <w:lang w:val="en-GB"/>
        </w:rPr>
        <w:t>number of tenders/offers receive</w:t>
      </w:r>
      <w:r w:rsidR="007F1191" w:rsidRPr="007F1191">
        <w:rPr>
          <w:rFonts w:ascii="Arial" w:hAnsi="Arial" w:cs="Arial"/>
          <w:sz w:val="20"/>
          <w:highlight w:val="yellow"/>
          <w:lang w:val="en-GB"/>
        </w:rPr>
        <w:t>d</w:t>
      </w:r>
      <w:r w:rsidRPr="007F1191">
        <w:rPr>
          <w:rFonts w:ascii="Arial" w:hAnsi="Arial" w:cs="Arial"/>
          <w:sz w:val="20"/>
          <w:highlight w:val="yellow"/>
          <w:lang w:val="en-GB"/>
        </w:rPr>
        <w:t>]</w:t>
      </w:r>
      <w:r w:rsidRPr="007F1191">
        <w:rPr>
          <w:rFonts w:ascii="Arial" w:hAnsi="Arial" w:cs="Arial"/>
          <w:sz w:val="20"/>
          <w:lang w:val="en-GB"/>
        </w:rPr>
        <w:t>.</w:t>
      </w:r>
    </w:p>
    <w:p w14:paraId="1900E091" w14:textId="77777777" w:rsidR="00B45C25" w:rsidRPr="007F1191" w:rsidRDefault="00B45C25" w:rsidP="00475909">
      <w:pPr>
        <w:rPr>
          <w:rFonts w:ascii="Arial" w:hAnsi="Arial" w:cs="Arial"/>
          <w:sz w:val="20"/>
          <w:lang w:val="en-GB"/>
        </w:rPr>
      </w:pPr>
    </w:p>
    <w:p w14:paraId="1900E092" w14:textId="77777777" w:rsidR="0071331F" w:rsidRPr="007F1191" w:rsidRDefault="0071331F" w:rsidP="00475909">
      <w:pPr>
        <w:rPr>
          <w:rFonts w:ascii="Arial" w:hAnsi="Arial" w:cs="Arial"/>
          <w:sz w:val="20"/>
          <w:lang w:val="en-GB"/>
        </w:rPr>
      </w:pPr>
    </w:p>
    <w:p w14:paraId="1900E093" w14:textId="77777777" w:rsidR="009568EC" w:rsidRPr="007F1191" w:rsidRDefault="00093493">
      <w:pPr>
        <w:keepNext/>
        <w:jc w:val="both"/>
        <w:rPr>
          <w:rFonts w:ascii="Arial" w:hAnsi="Arial" w:cs="Arial"/>
          <w:b/>
          <w:i/>
          <w:sz w:val="20"/>
          <w:lang w:val="en-GB"/>
        </w:rPr>
      </w:pPr>
      <w:r w:rsidRPr="007F1191">
        <w:rPr>
          <w:rFonts w:ascii="Arial" w:hAnsi="Arial" w:cs="Arial"/>
          <w:b/>
          <w:i/>
          <w:sz w:val="20"/>
          <w:lang w:val="en-GB"/>
        </w:rPr>
        <w:t>Administrative compliance</w:t>
      </w:r>
      <w:r w:rsidR="001E60B4" w:rsidRPr="007F1191">
        <w:rPr>
          <w:rFonts w:ascii="Arial" w:hAnsi="Arial" w:cs="Arial"/>
          <w:b/>
          <w:i/>
          <w:sz w:val="20"/>
          <w:lang w:val="en-GB"/>
        </w:rPr>
        <w:t xml:space="preserve"> </w:t>
      </w:r>
    </w:p>
    <w:p w14:paraId="1900E094" w14:textId="77777777" w:rsidR="00093493" w:rsidRPr="007F1191" w:rsidRDefault="00093493" w:rsidP="00475909">
      <w:pPr>
        <w:rPr>
          <w:rFonts w:ascii="Arial" w:hAnsi="Arial" w:cs="Arial"/>
          <w:sz w:val="20"/>
          <w:lang w:val="en-GB"/>
        </w:rPr>
      </w:pPr>
    </w:p>
    <w:p w14:paraId="1900E095" w14:textId="3ADEE8C5" w:rsidR="00152492" w:rsidRPr="007F1191" w:rsidRDefault="00152492" w:rsidP="00152492">
      <w:pPr>
        <w:jc w:val="both"/>
        <w:rPr>
          <w:rFonts w:ascii="Arial" w:hAnsi="Arial" w:cs="Arial"/>
          <w:sz w:val="20"/>
          <w:lang w:val="en-GB"/>
        </w:rPr>
      </w:pPr>
      <w:r w:rsidRPr="007F1191">
        <w:rPr>
          <w:rFonts w:ascii="Arial" w:hAnsi="Arial" w:cs="Arial"/>
          <w:sz w:val="20"/>
          <w:lang w:val="en-GB"/>
        </w:rPr>
        <w:t xml:space="preserve">The </w:t>
      </w:r>
      <w:r w:rsidR="001E60B4" w:rsidRPr="007F1191">
        <w:rPr>
          <w:rFonts w:ascii="Arial" w:hAnsi="Arial" w:cs="Arial"/>
          <w:sz w:val="20"/>
          <w:lang w:val="en-GB"/>
        </w:rPr>
        <w:t xml:space="preserve">voting members of the </w:t>
      </w:r>
      <w:r w:rsidRPr="007F1191">
        <w:rPr>
          <w:rFonts w:ascii="Arial" w:hAnsi="Arial" w:cs="Arial"/>
          <w:sz w:val="20"/>
          <w:lang w:val="en-GB"/>
        </w:rPr>
        <w:t xml:space="preserve">Evaluation Committee </w:t>
      </w:r>
      <w:r w:rsidR="002442D1" w:rsidRPr="007F1191">
        <w:rPr>
          <w:rFonts w:ascii="Arial" w:hAnsi="Arial" w:cs="Arial"/>
          <w:sz w:val="20"/>
          <w:lang w:val="en-GB"/>
        </w:rPr>
        <w:t xml:space="preserve">carried out an exercise to determine the </w:t>
      </w:r>
      <w:r w:rsidRPr="007F1191">
        <w:rPr>
          <w:rFonts w:ascii="Arial" w:hAnsi="Arial" w:cs="Arial"/>
          <w:sz w:val="20"/>
          <w:lang w:val="en-GB"/>
        </w:rPr>
        <w:t xml:space="preserve">administrative compliance </w:t>
      </w:r>
      <w:r w:rsidR="002442D1" w:rsidRPr="007F1191">
        <w:rPr>
          <w:rFonts w:ascii="Arial" w:hAnsi="Arial" w:cs="Arial"/>
          <w:sz w:val="20"/>
          <w:lang w:val="en-GB"/>
        </w:rPr>
        <w:t xml:space="preserve">of the </w:t>
      </w:r>
      <w:r w:rsidR="009A46FB" w:rsidRPr="007F1191">
        <w:rPr>
          <w:rFonts w:ascii="Arial" w:hAnsi="Arial" w:cs="Arial"/>
          <w:sz w:val="20"/>
          <w:highlight w:val="yellow"/>
          <w:lang w:val="en-GB"/>
        </w:rPr>
        <w:t>[offer/s received]</w:t>
      </w:r>
      <w:r w:rsidR="00475909" w:rsidRPr="007F1191">
        <w:rPr>
          <w:rFonts w:ascii="Arial" w:hAnsi="Arial" w:cs="Arial"/>
          <w:sz w:val="20"/>
          <w:lang w:val="en-GB"/>
        </w:rPr>
        <w:t>.</w:t>
      </w:r>
    </w:p>
    <w:p w14:paraId="1900E096" w14:textId="77777777" w:rsidR="00093493" w:rsidRPr="007F1191" w:rsidRDefault="00093493" w:rsidP="00475909">
      <w:pPr>
        <w:rPr>
          <w:rFonts w:ascii="Arial" w:hAnsi="Arial" w:cs="Arial"/>
          <w:sz w:val="20"/>
          <w:lang w:val="en-GB"/>
        </w:rPr>
      </w:pPr>
    </w:p>
    <w:p w14:paraId="1900E097" w14:textId="77777777" w:rsidR="005C05C9" w:rsidRPr="007F1191" w:rsidRDefault="005C05C9" w:rsidP="005C05C9">
      <w:pPr>
        <w:keepNext/>
        <w:jc w:val="both"/>
        <w:rPr>
          <w:rFonts w:ascii="Arial" w:hAnsi="Arial" w:cs="Arial"/>
          <w:sz w:val="20"/>
          <w:highlight w:val="yellow"/>
          <w:lang w:val="en-GB"/>
        </w:rPr>
      </w:pPr>
      <w:r w:rsidRPr="007F1191">
        <w:rPr>
          <w:rFonts w:ascii="Arial" w:hAnsi="Arial" w:cs="Arial"/>
          <w:sz w:val="20"/>
          <w:highlight w:val="yellow"/>
          <w:lang w:val="en-GB"/>
        </w:rPr>
        <w:t>The following rectifications/clarif</w:t>
      </w:r>
      <w:r w:rsidR="00475909" w:rsidRPr="007F1191">
        <w:rPr>
          <w:rFonts w:ascii="Arial" w:hAnsi="Arial" w:cs="Arial"/>
          <w:sz w:val="20"/>
          <w:highlight w:val="yellow"/>
          <w:lang w:val="en-GB"/>
        </w:rPr>
        <w:t>ications were deemed necessary:</w:t>
      </w:r>
    </w:p>
    <w:p w14:paraId="1900E098" w14:textId="77777777" w:rsidR="005C05C9" w:rsidRPr="007F1191" w:rsidRDefault="00006AAE" w:rsidP="005C05C9">
      <w:pPr>
        <w:keepNext/>
        <w:numPr>
          <w:ilvl w:val="0"/>
          <w:numId w:val="32"/>
        </w:numPr>
        <w:jc w:val="both"/>
        <w:rPr>
          <w:rFonts w:ascii="Arial" w:hAnsi="Arial" w:cs="Arial"/>
          <w:sz w:val="20"/>
          <w:highlight w:val="yellow"/>
          <w:lang w:val="en-GB"/>
        </w:rPr>
      </w:pPr>
      <w:r w:rsidRPr="007F1191">
        <w:rPr>
          <w:rFonts w:ascii="Arial" w:hAnsi="Arial" w:cs="Arial"/>
          <w:sz w:val="20"/>
          <w:highlight w:val="yellow"/>
          <w:lang w:val="en-GB"/>
        </w:rPr>
        <w:t>Include here d</w:t>
      </w:r>
      <w:r w:rsidR="005C05C9" w:rsidRPr="007F1191">
        <w:rPr>
          <w:rFonts w:ascii="Arial" w:hAnsi="Arial" w:cs="Arial"/>
          <w:sz w:val="20"/>
          <w:highlight w:val="yellow"/>
          <w:lang w:val="en-GB"/>
        </w:rPr>
        <w:t>etails of rectification/clarification, and its outcome (acceptable or not?)</w:t>
      </w:r>
    </w:p>
    <w:p w14:paraId="1900E099" w14:textId="77777777" w:rsidR="005C05C9" w:rsidRPr="007F1191" w:rsidRDefault="005C05C9" w:rsidP="00475909">
      <w:pPr>
        <w:rPr>
          <w:rFonts w:ascii="Arial" w:hAnsi="Arial" w:cs="Arial"/>
          <w:sz w:val="20"/>
          <w:highlight w:val="yellow"/>
          <w:lang w:val="en-GB"/>
        </w:rPr>
      </w:pPr>
    </w:p>
    <w:p w14:paraId="1900E09A" w14:textId="77777777" w:rsidR="00093493" w:rsidRPr="007F1191" w:rsidRDefault="00093493">
      <w:pPr>
        <w:keepNext/>
        <w:jc w:val="both"/>
        <w:rPr>
          <w:rFonts w:ascii="Arial" w:hAnsi="Arial" w:cs="Arial"/>
          <w:sz w:val="20"/>
          <w:lang w:val="en-GB"/>
        </w:rPr>
      </w:pPr>
      <w:r w:rsidRPr="007F1191">
        <w:rPr>
          <w:rFonts w:ascii="Arial" w:hAnsi="Arial" w:cs="Arial"/>
          <w:sz w:val="20"/>
          <w:lang w:val="en-GB"/>
        </w:rPr>
        <w:t xml:space="preserve">On the basis of this, the Evaluation Committee decided that </w:t>
      </w:r>
      <w:r w:rsidR="009A46FB" w:rsidRPr="007F1191">
        <w:rPr>
          <w:rFonts w:ascii="Arial" w:hAnsi="Arial" w:cs="Arial"/>
          <w:sz w:val="20"/>
          <w:highlight w:val="yellow"/>
          <w:lang w:val="en-GB"/>
        </w:rPr>
        <w:t>[indicate offer/s]</w:t>
      </w:r>
      <w:r w:rsidR="001E60B4" w:rsidRPr="007F1191">
        <w:rPr>
          <w:rFonts w:ascii="Arial" w:hAnsi="Arial" w:cs="Arial"/>
          <w:sz w:val="20"/>
          <w:lang w:val="en-GB"/>
        </w:rPr>
        <w:t xml:space="preserve"> submitted </w:t>
      </w:r>
      <w:r w:rsidRPr="007F1191">
        <w:rPr>
          <w:rFonts w:ascii="Arial" w:hAnsi="Arial" w:cs="Arial"/>
          <w:sz w:val="20"/>
          <w:highlight w:val="yellow"/>
          <w:lang w:val="en-GB"/>
        </w:rPr>
        <w:t>w</w:t>
      </w:r>
      <w:r w:rsidR="001E60B4" w:rsidRPr="007F1191">
        <w:rPr>
          <w:rFonts w:ascii="Arial" w:hAnsi="Arial" w:cs="Arial"/>
          <w:sz w:val="20"/>
          <w:highlight w:val="yellow"/>
          <w:lang w:val="en-GB"/>
        </w:rPr>
        <w:t>as</w:t>
      </w:r>
      <w:r w:rsidR="009A46FB" w:rsidRPr="007F1191">
        <w:rPr>
          <w:rFonts w:ascii="Arial" w:hAnsi="Arial" w:cs="Arial"/>
          <w:sz w:val="20"/>
          <w:highlight w:val="yellow"/>
          <w:lang w:val="en-GB"/>
        </w:rPr>
        <w:t>/were</w:t>
      </w:r>
      <w:r w:rsidRPr="007F1191">
        <w:rPr>
          <w:rFonts w:ascii="Arial" w:hAnsi="Arial" w:cs="Arial"/>
          <w:sz w:val="20"/>
          <w:lang w:val="en-GB"/>
        </w:rPr>
        <w:t xml:space="preserve"> administratively compliant and should be considered further</w:t>
      </w:r>
      <w:r w:rsidR="009A46FB" w:rsidRPr="007F1191">
        <w:rPr>
          <w:rFonts w:ascii="Arial" w:hAnsi="Arial" w:cs="Arial"/>
          <w:sz w:val="20"/>
          <w:lang w:val="en-GB"/>
        </w:rPr>
        <w:t>.</w:t>
      </w:r>
    </w:p>
    <w:p w14:paraId="1900E09B" w14:textId="77777777" w:rsidR="00093493" w:rsidRPr="007F1191" w:rsidRDefault="00093493" w:rsidP="00475909">
      <w:pPr>
        <w:rPr>
          <w:rFonts w:ascii="Arial" w:hAnsi="Arial" w:cs="Arial"/>
          <w:sz w:val="20"/>
          <w:lang w:val="en-GB"/>
        </w:rPr>
      </w:pPr>
    </w:p>
    <w:p w14:paraId="1900E09C" w14:textId="77777777" w:rsidR="009A46FB" w:rsidRPr="007F1191" w:rsidRDefault="009A46FB">
      <w:pPr>
        <w:keepNext/>
        <w:jc w:val="both"/>
        <w:rPr>
          <w:rFonts w:ascii="Arial" w:hAnsi="Arial" w:cs="Arial"/>
          <w:sz w:val="20"/>
          <w:highlight w:val="yellow"/>
          <w:lang w:val="en-GB"/>
        </w:rPr>
      </w:pPr>
      <w:r w:rsidRPr="007F1191">
        <w:rPr>
          <w:rFonts w:ascii="Arial" w:hAnsi="Arial" w:cs="Arial"/>
          <w:sz w:val="20"/>
          <w:highlight w:val="yellow"/>
          <w:lang w:val="en-GB"/>
        </w:rPr>
        <w:t>The following offer/s was/were considered to be administratively non-compliant for the following reasons:</w:t>
      </w:r>
    </w:p>
    <w:p w14:paraId="1900E09D" w14:textId="77777777" w:rsidR="009A46FB" w:rsidRPr="007F1191" w:rsidRDefault="009A46FB" w:rsidP="009A46FB">
      <w:pPr>
        <w:keepNext/>
        <w:numPr>
          <w:ilvl w:val="0"/>
          <w:numId w:val="31"/>
        </w:numPr>
        <w:jc w:val="both"/>
        <w:rPr>
          <w:rFonts w:ascii="Arial" w:hAnsi="Arial" w:cs="Arial"/>
          <w:sz w:val="20"/>
          <w:lang w:val="en-GB"/>
        </w:rPr>
      </w:pPr>
      <w:r w:rsidRPr="007F1191">
        <w:rPr>
          <w:rFonts w:ascii="Arial" w:hAnsi="Arial" w:cs="Arial"/>
          <w:sz w:val="20"/>
          <w:highlight w:val="yellow"/>
          <w:lang w:val="en-GB"/>
        </w:rPr>
        <w:t>Name of non-compliant tenderer, and reasons leading to non-compliance</w:t>
      </w:r>
    </w:p>
    <w:p w14:paraId="1900E09E" w14:textId="77777777" w:rsidR="00B45C25" w:rsidRPr="007F1191" w:rsidRDefault="00B45C25" w:rsidP="00475909">
      <w:pPr>
        <w:rPr>
          <w:rFonts w:ascii="Arial" w:hAnsi="Arial" w:cs="Arial"/>
          <w:sz w:val="20"/>
          <w:lang w:val="en-GB"/>
        </w:rPr>
      </w:pPr>
    </w:p>
    <w:p w14:paraId="1900E09F" w14:textId="77777777" w:rsidR="0071331F" w:rsidRPr="007F1191" w:rsidRDefault="0071331F" w:rsidP="00475909">
      <w:pPr>
        <w:rPr>
          <w:rFonts w:ascii="Arial" w:hAnsi="Arial" w:cs="Arial"/>
          <w:sz w:val="20"/>
          <w:lang w:val="en-GB"/>
        </w:rPr>
      </w:pPr>
    </w:p>
    <w:p w14:paraId="1900E0A0" w14:textId="23D92FEE" w:rsidR="00093493" w:rsidRPr="007F1191" w:rsidRDefault="00093493">
      <w:pPr>
        <w:keepNext/>
        <w:jc w:val="both"/>
        <w:rPr>
          <w:rFonts w:ascii="Arial" w:hAnsi="Arial" w:cs="Arial"/>
          <w:b/>
          <w:i/>
          <w:sz w:val="20"/>
          <w:lang w:val="en-GB"/>
        </w:rPr>
      </w:pPr>
      <w:r w:rsidRPr="007F1191">
        <w:rPr>
          <w:rFonts w:ascii="Arial" w:hAnsi="Arial" w:cs="Arial"/>
          <w:b/>
          <w:i/>
          <w:sz w:val="20"/>
          <w:lang w:val="en-GB"/>
        </w:rPr>
        <w:t xml:space="preserve">Technical </w:t>
      </w:r>
      <w:r w:rsidR="007F1191" w:rsidRPr="007F1191">
        <w:rPr>
          <w:rFonts w:ascii="Arial" w:hAnsi="Arial" w:cs="Arial"/>
          <w:b/>
          <w:i/>
          <w:sz w:val="20"/>
          <w:lang w:val="en-GB"/>
        </w:rPr>
        <w:t>compliance</w:t>
      </w:r>
    </w:p>
    <w:p w14:paraId="1900E0A1" w14:textId="77777777" w:rsidR="00321C6D" w:rsidRPr="007F1191" w:rsidRDefault="00321C6D" w:rsidP="00475909">
      <w:pPr>
        <w:rPr>
          <w:rFonts w:ascii="Arial" w:hAnsi="Arial" w:cs="Arial"/>
          <w:sz w:val="20"/>
          <w:lang w:val="en-GB"/>
        </w:rPr>
      </w:pPr>
    </w:p>
    <w:p w14:paraId="1900E0A2" w14:textId="14949354" w:rsidR="005C05C9" w:rsidRPr="007F1191" w:rsidRDefault="00093493" w:rsidP="00DE1796">
      <w:pPr>
        <w:jc w:val="both"/>
        <w:rPr>
          <w:rFonts w:ascii="Arial" w:hAnsi="Arial" w:cs="Arial"/>
          <w:sz w:val="20"/>
          <w:lang w:val="en-GB"/>
        </w:rPr>
      </w:pPr>
      <w:r w:rsidRPr="007F1191">
        <w:rPr>
          <w:rFonts w:ascii="Arial" w:hAnsi="Arial" w:cs="Arial"/>
          <w:sz w:val="20"/>
          <w:lang w:val="en-GB"/>
        </w:rPr>
        <w:t>Each evaluator on the Evaluation Committee assess</w:t>
      </w:r>
      <w:r w:rsidR="00BD0A96" w:rsidRPr="007F1191">
        <w:rPr>
          <w:rFonts w:ascii="Arial" w:hAnsi="Arial" w:cs="Arial"/>
          <w:sz w:val="20"/>
          <w:lang w:val="en-GB"/>
        </w:rPr>
        <w:t>ed</w:t>
      </w:r>
      <w:r w:rsidRPr="007F1191">
        <w:rPr>
          <w:rFonts w:ascii="Arial" w:hAnsi="Arial" w:cs="Arial"/>
          <w:sz w:val="20"/>
          <w:lang w:val="en-GB"/>
        </w:rPr>
        <w:t xml:space="preserve"> the compliance of </w:t>
      </w:r>
      <w:r w:rsidR="00BD0A96" w:rsidRPr="007F1191">
        <w:rPr>
          <w:rFonts w:ascii="Arial" w:hAnsi="Arial" w:cs="Arial"/>
          <w:sz w:val="20"/>
          <w:lang w:val="en-GB"/>
        </w:rPr>
        <w:t xml:space="preserve">the </w:t>
      </w:r>
      <w:r w:rsidR="00BD0A96" w:rsidRPr="007F1191">
        <w:rPr>
          <w:rFonts w:ascii="Arial" w:hAnsi="Arial" w:cs="Arial"/>
          <w:sz w:val="20"/>
          <w:highlight w:val="yellow"/>
          <w:lang w:val="en-GB"/>
        </w:rPr>
        <w:t>administratively compliant tender</w:t>
      </w:r>
      <w:r w:rsidR="00486AEF" w:rsidRPr="007F1191">
        <w:rPr>
          <w:rFonts w:ascii="Arial" w:hAnsi="Arial" w:cs="Arial"/>
          <w:sz w:val="20"/>
          <w:highlight w:val="yellow"/>
          <w:lang w:val="en-GB"/>
        </w:rPr>
        <w:t>s</w:t>
      </w:r>
      <w:r w:rsidR="00BD0A96" w:rsidRPr="007F1191">
        <w:rPr>
          <w:rFonts w:ascii="Arial" w:hAnsi="Arial" w:cs="Arial"/>
          <w:sz w:val="20"/>
          <w:lang w:val="en-GB"/>
        </w:rPr>
        <w:t xml:space="preserve"> </w:t>
      </w:r>
      <w:r w:rsidRPr="007F1191">
        <w:rPr>
          <w:rFonts w:ascii="Arial" w:hAnsi="Arial" w:cs="Arial"/>
          <w:sz w:val="20"/>
          <w:lang w:val="en-GB"/>
        </w:rPr>
        <w:t>with the technical requirements</w:t>
      </w:r>
      <w:r w:rsidR="00BD0A96" w:rsidRPr="007F1191">
        <w:rPr>
          <w:rFonts w:ascii="Arial" w:hAnsi="Arial" w:cs="Arial"/>
          <w:sz w:val="20"/>
          <w:lang w:val="en-GB"/>
        </w:rPr>
        <w:t xml:space="preserve"> for each of the items in </w:t>
      </w:r>
      <w:r w:rsidRPr="007F1191">
        <w:rPr>
          <w:rFonts w:ascii="Arial" w:hAnsi="Arial" w:cs="Arial"/>
          <w:sz w:val="20"/>
          <w:lang w:val="en-GB"/>
        </w:rPr>
        <w:t xml:space="preserve">the tender </w:t>
      </w:r>
      <w:r w:rsidR="00B624C4" w:rsidRPr="007F1191">
        <w:rPr>
          <w:rFonts w:ascii="Arial" w:hAnsi="Arial" w:cs="Arial"/>
          <w:sz w:val="20"/>
          <w:lang w:val="en-GB"/>
        </w:rPr>
        <w:t>document.</w:t>
      </w:r>
    </w:p>
    <w:p w14:paraId="1900E0A3" w14:textId="77777777" w:rsidR="0071331F" w:rsidRPr="007F1191" w:rsidRDefault="0071331F" w:rsidP="0071331F">
      <w:pPr>
        <w:rPr>
          <w:rFonts w:ascii="Arial" w:hAnsi="Arial" w:cs="Arial"/>
          <w:sz w:val="20"/>
          <w:lang w:val="en-GB"/>
        </w:rPr>
      </w:pPr>
    </w:p>
    <w:p w14:paraId="1900E0A4" w14:textId="77777777" w:rsidR="00B624C4" w:rsidRPr="007F1191" w:rsidRDefault="00B624C4" w:rsidP="00B624C4">
      <w:pPr>
        <w:keepNext/>
        <w:jc w:val="both"/>
        <w:rPr>
          <w:rFonts w:ascii="Arial" w:hAnsi="Arial" w:cs="Arial"/>
          <w:sz w:val="20"/>
          <w:highlight w:val="yellow"/>
          <w:lang w:val="en-GB"/>
        </w:rPr>
      </w:pPr>
      <w:r w:rsidRPr="007F1191">
        <w:rPr>
          <w:rFonts w:ascii="Arial" w:hAnsi="Arial" w:cs="Arial"/>
          <w:sz w:val="20"/>
          <w:highlight w:val="yellow"/>
          <w:lang w:val="en-GB"/>
        </w:rPr>
        <w:lastRenderedPageBreak/>
        <w:t>The following clarif</w:t>
      </w:r>
      <w:r w:rsidR="00475909" w:rsidRPr="007F1191">
        <w:rPr>
          <w:rFonts w:ascii="Arial" w:hAnsi="Arial" w:cs="Arial"/>
          <w:sz w:val="20"/>
          <w:highlight w:val="yellow"/>
          <w:lang w:val="en-GB"/>
        </w:rPr>
        <w:t>ications were deemed necessary:</w:t>
      </w:r>
    </w:p>
    <w:p w14:paraId="1900E0A5" w14:textId="77777777" w:rsidR="00B624C4" w:rsidRPr="007F1191" w:rsidRDefault="00B624C4" w:rsidP="00B624C4">
      <w:pPr>
        <w:keepNext/>
        <w:numPr>
          <w:ilvl w:val="0"/>
          <w:numId w:val="32"/>
        </w:numPr>
        <w:jc w:val="both"/>
        <w:rPr>
          <w:rFonts w:ascii="Arial" w:hAnsi="Arial" w:cs="Arial"/>
          <w:sz w:val="20"/>
          <w:highlight w:val="yellow"/>
          <w:lang w:val="en-GB"/>
        </w:rPr>
      </w:pPr>
      <w:r w:rsidRPr="007F1191">
        <w:rPr>
          <w:rFonts w:ascii="Arial" w:hAnsi="Arial" w:cs="Arial"/>
          <w:sz w:val="20"/>
          <w:highlight w:val="yellow"/>
          <w:lang w:val="en-GB"/>
        </w:rPr>
        <w:t>Include here details of clarification, and its outcome (acceptable or not?)</w:t>
      </w:r>
    </w:p>
    <w:p w14:paraId="1900E0A6" w14:textId="77777777" w:rsidR="00475909" w:rsidRPr="007F1191" w:rsidRDefault="00475909" w:rsidP="00475909">
      <w:pPr>
        <w:rPr>
          <w:rFonts w:ascii="Arial" w:hAnsi="Arial" w:cs="Arial"/>
          <w:sz w:val="20"/>
          <w:highlight w:val="yellow"/>
          <w:lang w:val="en-GB"/>
        </w:rPr>
      </w:pPr>
    </w:p>
    <w:p w14:paraId="1900E0A7" w14:textId="77777777" w:rsidR="00F50762" w:rsidRPr="007F1191" w:rsidRDefault="00F50762" w:rsidP="00475909">
      <w:pPr>
        <w:rPr>
          <w:rFonts w:ascii="Arial" w:hAnsi="Arial" w:cs="Arial"/>
          <w:sz w:val="20"/>
          <w:highlight w:val="yellow"/>
          <w:lang w:val="en-GB"/>
        </w:rPr>
      </w:pPr>
    </w:p>
    <w:p w14:paraId="1900E0AA" w14:textId="77777777" w:rsidR="00E438D1" w:rsidRPr="007F1191" w:rsidRDefault="00E438D1" w:rsidP="00E438D1">
      <w:pPr>
        <w:jc w:val="both"/>
        <w:rPr>
          <w:rFonts w:ascii="Arial" w:hAnsi="Arial" w:cs="Arial"/>
          <w:sz w:val="20"/>
          <w:lang w:val="en-GB"/>
        </w:rPr>
      </w:pPr>
      <w:r w:rsidRPr="007F1191">
        <w:rPr>
          <w:rFonts w:ascii="Arial" w:hAnsi="Arial" w:cs="Arial"/>
          <w:sz w:val="20"/>
          <w:highlight w:val="yellow"/>
          <w:lang w:val="en-GB"/>
        </w:rPr>
        <w:t>All offers were considered to be technically compliant / The following offer(s) was/were considered to be technically non-compliant for the following reasons:</w:t>
      </w:r>
    </w:p>
    <w:p w14:paraId="1900E0AB" w14:textId="77777777" w:rsidR="00E438D1" w:rsidRPr="007F1191" w:rsidRDefault="00E438D1" w:rsidP="00E438D1">
      <w:pPr>
        <w:keepNext/>
        <w:numPr>
          <w:ilvl w:val="0"/>
          <w:numId w:val="31"/>
        </w:numPr>
        <w:jc w:val="both"/>
        <w:rPr>
          <w:rFonts w:ascii="Arial" w:hAnsi="Arial" w:cs="Arial"/>
          <w:sz w:val="20"/>
          <w:highlight w:val="yellow"/>
          <w:lang w:val="en-GB"/>
        </w:rPr>
      </w:pPr>
      <w:r w:rsidRPr="007F1191">
        <w:rPr>
          <w:rFonts w:ascii="Arial" w:hAnsi="Arial" w:cs="Arial"/>
          <w:sz w:val="20"/>
          <w:highlight w:val="yellow"/>
          <w:lang w:val="en-GB"/>
        </w:rPr>
        <w:t>Name of non-compliant tenderer, and reasons leading to non-compliance</w:t>
      </w:r>
    </w:p>
    <w:p w14:paraId="1900E0AC" w14:textId="77777777" w:rsidR="00175E62" w:rsidRPr="007F1191" w:rsidRDefault="00175E62" w:rsidP="00475909">
      <w:pPr>
        <w:rPr>
          <w:rFonts w:ascii="Arial" w:hAnsi="Arial" w:cs="Arial"/>
          <w:sz w:val="20"/>
          <w:highlight w:val="lightGray"/>
          <w:lang w:val="en-GB"/>
        </w:rPr>
      </w:pPr>
    </w:p>
    <w:p w14:paraId="1900E0AD" w14:textId="77777777" w:rsidR="00F50762" w:rsidRPr="007F1191" w:rsidRDefault="00F50762" w:rsidP="00475909">
      <w:pPr>
        <w:rPr>
          <w:rFonts w:ascii="Arial" w:hAnsi="Arial" w:cs="Arial"/>
          <w:sz w:val="20"/>
          <w:highlight w:val="lightGray"/>
          <w:lang w:val="en-GB"/>
        </w:rPr>
      </w:pPr>
    </w:p>
    <w:p w14:paraId="1900E0E6" w14:textId="77777777" w:rsidR="00093493" w:rsidRPr="007F1191" w:rsidRDefault="00093493" w:rsidP="004B2E81">
      <w:pPr>
        <w:ind w:left="2160" w:hanging="2160"/>
        <w:jc w:val="both"/>
        <w:rPr>
          <w:rFonts w:ascii="Arial" w:hAnsi="Arial" w:cs="Arial"/>
          <w:b/>
          <w:i/>
          <w:sz w:val="20"/>
          <w:lang w:val="en-GB"/>
        </w:rPr>
      </w:pPr>
      <w:r w:rsidRPr="007F1191">
        <w:rPr>
          <w:rFonts w:ascii="Arial" w:hAnsi="Arial" w:cs="Arial"/>
          <w:b/>
          <w:i/>
          <w:sz w:val="20"/>
          <w:lang w:val="en-GB"/>
        </w:rPr>
        <w:t>Financial evaluation</w:t>
      </w:r>
    </w:p>
    <w:p w14:paraId="1900E0E7" w14:textId="77777777" w:rsidR="003B15EE" w:rsidRPr="007F1191" w:rsidRDefault="003B15EE" w:rsidP="003B15EE">
      <w:pPr>
        <w:rPr>
          <w:rFonts w:ascii="Arial" w:hAnsi="Arial" w:cs="Arial"/>
          <w:sz w:val="20"/>
          <w:lang w:val="en-GB"/>
        </w:rPr>
      </w:pPr>
    </w:p>
    <w:p w14:paraId="416C3059" w14:textId="77777777" w:rsidR="007F1191" w:rsidRDefault="004B2E81" w:rsidP="00FF3670">
      <w:pPr>
        <w:jc w:val="both"/>
        <w:rPr>
          <w:rFonts w:ascii="Arial" w:hAnsi="Arial" w:cs="Arial"/>
          <w:sz w:val="20"/>
          <w:lang w:val="en-GB"/>
        </w:rPr>
      </w:pPr>
      <w:r w:rsidRPr="007F1191">
        <w:rPr>
          <w:rFonts w:ascii="Arial" w:hAnsi="Arial" w:cs="Arial"/>
          <w:sz w:val="20"/>
          <w:lang w:val="en-GB"/>
        </w:rPr>
        <w:t>The</w:t>
      </w:r>
      <w:r w:rsidR="00E1301B" w:rsidRPr="007F1191">
        <w:rPr>
          <w:rFonts w:ascii="Arial" w:hAnsi="Arial" w:cs="Arial"/>
          <w:sz w:val="20"/>
          <w:lang w:val="en-GB"/>
        </w:rPr>
        <w:t xml:space="preserve"> financial offer of </w:t>
      </w:r>
      <w:r w:rsidR="00D52EC3" w:rsidRPr="007F1191">
        <w:rPr>
          <w:rFonts w:ascii="Arial" w:hAnsi="Arial" w:cs="Arial"/>
          <w:sz w:val="20"/>
          <w:highlight w:val="yellow"/>
          <w:lang w:val="en-GB"/>
        </w:rPr>
        <w:t>the offers</w:t>
      </w:r>
      <w:r w:rsidRPr="007F1191">
        <w:rPr>
          <w:rFonts w:ascii="Arial" w:hAnsi="Arial" w:cs="Arial"/>
          <w:sz w:val="20"/>
          <w:lang w:val="en-GB"/>
        </w:rPr>
        <w:t xml:space="preserve"> submitted which </w:t>
      </w:r>
      <w:r w:rsidR="00D52EC3" w:rsidRPr="007F1191">
        <w:rPr>
          <w:rFonts w:ascii="Arial" w:hAnsi="Arial" w:cs="Arial"/>
          <w:sz w:val="20"/>
          <w:highlight w:val="yellow"/>
          <w:lang w:val="en-GB"/>
        </w:rPr>
        <w:t>were</w:t>
      </w:r>
      <w:r w:rsidR="00D52EC3" w:rsidRPr="007F1191">
        <w:rPr>
          <w:rFonts w:ascii="Arial" w:hAnsi="Arial" w:cs="Arial"/>
          <w:sz w:val="20"/>
          <w:lang w:val="en-GB"/>
        </w:rPr>
        <w:t xml:space="preserve"> </w:t>
      </w:r>
      <w:r w:rsidRPr="007F1191">
        <w:rPr>
          <w:rFonts w:ascii="Arial" w:hAnsi="Arial" w:cs="Arial"/>
          <w:sz w:val="20"/>
          <w:lang w:val="en-GB"/>
        </w:rPr>
        <w:t xml:space="preserve">found to be both administratively and </w:t>
      </w:r>
      <w:r w:rsidR="00E1301B" w:rsidRPr="007F1191">
        <w:rPr>
          <w:rFonts w:ascii="Arial" w:hAnsi="Arial" w:cs="Arial"/>
          <w:sz w:val="20"/>
          <w:lang w:val="en-GB"/>
        </w:rPr>
        <w:t xml:space="preserve">technically compliant </w:t>
      </w:r>
      <w:r w:rsidR="003B15EE" w:rsidRPr="007F1191">
        <w:rPr>
          <w:rFonts w:ascii="Arial" w:hAnsi="Arial" w:cs="Arial"/>
          <w:sz w:val="20"/>
          <w:lang w:val="en-GB"/>
        </w:rPr>
        <w:t>was compared to the budget available for the contract</w:t>
      </w:r>
      <w:r w:rsidR="00FF3670" w:rsidRPr="007F1191">
        <w:rPr>
          <w:rFonts w:ascii="Arial" w:hAnsi="Arial" w:cs="Arial"/>
          <w:sz w:val="20"/>
          <w:lang w:val="en-GB"/>
        </w:rPr>
        <w:t xml:space="preserve"> </w:t>
      </w:r>
      <w:r w:rsidR="00E1301B" w:rsidRPr="007F1191">
        <w:rPr>
          <w:rFonts w:ascii="Arial" w:hAnsi="Arial" w:cs="Arial"/>
          <w:sz w:val="20"/>
          <w:lang w:val="en-GB"/>
        </w:rPr>
        <w:t xml:space="preserve">which is stated at as </w:t>
      </w:r>
      <w:r w:rsidR="00E1301B" w:rsidRPr="007F1191">
        <w:rPr>
          <w:rFonts w:ascii="Arial" w:hAnsi="Arial" w:cs="Arial"/>
          <w:sz w:val="20"/>
          <w:highlight w:val="yellow"/>
          <w:lang w:val="en-GB"/>
        </w:rPr>
        <w:t>€</w:t>
      </w:r>
      <w:r w:rsidR="00D25662" w:rsidRPr="007F1191">
        <w:rPr>
          <w:rFonts w:ascii="Arial" w:hAnsi="Arial" w:cs="Arial"/>
          <w:sz w:val="20"/>
          <w:highlight w:val="yellow"/>
          <w:lang w:val="en-GB"/>
        </w:rPr>
        <w:t>..........</w:t>
      </w:r>
      <w:r w:rsidR="00E1301B" w:rsidRPr="007F1191">
        <w:rPr>
          <w:rFonts w:ascii="Arial" w:hAnsi="Arial" w:cs="Arial"/>
          <w:sz w:val="20"/>
          <w:highlight w:val="yellow"/>
          <w:lang w:val="en-GB"/>
        </w:rPr>
        <w:t xml:space="preserve"> </w:t>
      </w:r>
      <w:r w:rsidR="00D25662" w:rsidRPr="007F1191">
        <w:rPr>
          <w:rFonts w:ascii="Arial" w:hAnsi="Arial" w:cs="Arial"/>
          <w:sz w:val="20"/>
          <w:highlight w:val="yellow"/>
          <w:lang w:val="en-GB"/>
        </w:rPr>
        <w:t xml:space="preserve">excluding </w:t>
      </w:r>
      <w:r w:rsidR="00E1301B" w:rsidRPr="007F1191">
        <w:rPr>
          <w:rFonts w:ascii="Arial" w:hAnsi="Arial" w:cs="Arial"/>
          <w:sz w:val="20"/>
          <w:highlight w:val="yellow"/>
          <w:lang w:val="en-GB"/>
        </w:rPr>
        <w:t>VAT</w:t>
      </w:r>
      <w:r w:rsidR="003B15EE" w:rsidRPr="007F1191">
        <w:rPr>
          <w:rFonts w:ascii="Arial" w:hAnsi="Arial" w:cs="Arial"/>
          <w:sz w:val="20"/>
          <w:lang w:val="en-GB"/>
        </w:rPr>
        <w:t>.</w:t>
      </w:r>
      <w:r w:rsidR="00FF3670" w:rsidRPr="007F1191">
        <w:rPr>
          <w:rFonts w:ascii="Arial" w:hAnsi="Arial" w:cs="Arial"/>
          <w:sz w:val="20"/>
          <w:lang w:val="en-GB"/>
        </w:rPr>
        <w:t xml:space="preserve">  </w:t>
      </w:r>
    </w:p>
    <w:p w14:paraId="621BC08C" w14:textId="77777777" w:rsidR="007F1191" w:rsidRDefault="007F1191" w:rsidP="00FF3670">
      <w:pPr>
        <w:jc w:val="both"/>
        <w:rPr>
          <w:rFonts w:ascii="Arial" w:hAnsi="Arial" w:cs="Arial"/>
          <w:sz w:val="20"/>
          <w:lang w:val="en-GB"/>
        </w:rPr>
      </w:pPr>
    </w:p>
    <w:p w14:paraId="1900E0E8" w14:textId="6E8792E8" w:rsidR="003B15EE" w:rsidRPr="007F1191" w:rsidRDefault="00FF3670" w:rsidP="00FF3670">
      <w:pPr>
        <w:jc w:val="both"/>
        <w:rPr>
          <w:rFonts w:ascii="Arial" w:hAnsi="Arial" w:cs="Arial"/>
          <w:sz w:val="20"/>
          <w:lang w:val="en-GB"/>
        </w:rPr>
      </w:pPr>
      <w:r w:rsidRPr="007F1191">
        <w:rPr>
          <w:rFonts w:ascii="Arial" w:hAnsi="Arial" w:cs="Arial"/>
          <w:sz w:val="20"/>
          <w:lang w:val="en-GB"/>
        </w:rPr>
        <w:t xml:space="preserve">In this regard, the financial offer </w:t>
      </w:r>
      <w:r w:rsidR="00F94F06" w:rsidRPr="007F1191">
        <w:rPr>
          <w:rFonts w:ascii="Arial" w:hAnsi="Arial" w:cs="Arial"/>
          <w:sz w:val="20"/>
          <w:highlight w:val="yellow"/>
          <w:lang w:val="en-GB"/>
        </w:rPr>
        <w:t>of the recommended tenderer is within the estimated budge</w:t>
      </w:r>
      <w:r w:rsidR="00673557" w:rsidRPr="007F1191">
        <w:rPr>
          <w:rFonts w:ascii="Arial" w:hAnsi="Arial" w:cs="Arial"/>
          <w:sz w:val="20"/>
          <w:highlight w:val="yellow"/>
          <w:lang w:val="en-GB"/>
        </w:rPr>
        <w:t>t</w:t>
      </w:r>
      <w:r w:rsidR="00F94F06" w:rsidRPr="007F1191">
        <w:rPr>
          <w:rFonts w:ascii="Arial" w:hAnsi="Arial" w:cs="Arial"/>
          <w:sz w:val="20"/>
          <w:highlight w:val="yellow"/>
          <w:lang w:val="en-GB"/>
        </w:rPr>
        <w:t xml:space="preserve"> / exceeded the estimated budget by …%.</w:t>
      </w:r>
    </w:p>
    <w:p w14:paraId="1900E0E9" w14:textId="77777777" w:rsidR="00093493" w:rsidRPr="007F1191" w:rsidRDefault="00093493">
      <w:pPr>
        <w:ind w:left="2160" w:hanging="2160"/>
        <w:jc w:val="both"/>
        <w:rPr>
          <w:rFonts w:ascii="Arial" w:hAnsi="Arial" w:cs="Arial"/>
          <w:sz w:val="20"/>
          <w:lang w:val="en-GB"/>
        </w:rPr>
      </w:pPr>
    </w:p>
    <w:p w14:paraId="4A0DAF89" w14:textId="77777777" w:rsidR="007F1191" w:rsidRDefault="005C05C9" w:rsidP="00475909">
      <w:pPr>
        <w:jc w:val="both"/>
        <w:rPr>
          <w:rFonts w:ascii="Arial" w:hAnsi="Arial" w:cs="Arial"/>
          <w:sz w:val="20"/>
          <w:lang w:val="en-GB"/>
        </w:rPr>
      </w:pPr>
      <w:r w:rsidRPr="007F1191">
        <w:rPr>
          <w:rFonts w:ascii="Arial" w:hAnsi="Arial" w:cs="Arial"/>
          <w:sz w:val="20"/>
          <w:lang w:val="en-GB"/>
        </w:rPr>
        <w:t xml:space="preserve">The Evaluation Committee checked the technically compliant tenders for arithmetic errors.  </w:t>
      </w:r>
    </w:p>
    <w:p w14:paraId="3ADDF35F" w14:textId="77777777" w:rsidR="007F1191" w:rsidRDefault="007F1191" w:rsidP="00475909">
      <w:pPr>
        <w:jc w:val="both"/>
        <w:rPr>
          <w:rFonts w:ascii="Arial" w:hAnsi="Arial" w:cs="Arial"/>
          <w:sz w:val="20"/>
          <w:lang w:val="en-GB"/>
        </w:rPr>
      </w:pPr>
    </w:p>
    <w:p w14:paraId="1900E0EA" w14:textId="0A13F656" w:rsidR="002721CC" w:rsidRPr="007F1191" w:rsidRDefault="005C05C9" w:rsidP="00475909">
      <w:pPr>
        <w:jc w:val="both"/>
        <w:rPr>
          <w:rFonts w:ascii="Arial" w:hAnsi="Arial" w:cs="Arial"/>
          <w:sz w:val="20"/>
          <w:highlight w:val="yellow"/>
          <w:lang w:val="en-GB"/>
        </w:rPr>
      </w:pPr>
      <w:r w:rsidRPr="007F1191">
        <w:rPr>
          <w:rFonts w:ascii="Arial" w:hAnsi="Arial" w:cs="Arial"/>
          <w:sz w:val="20"/>
          <w:highlight w:val="yellow"/>
          <w:lang w:val="en-GB"/>
        </w:rPr>
        <w:t>No errors were noted.</w:t>
      </w:r>
    </w:p>
    <w:p w14:paraId="1900E0EB" w14:textId="77777777" w:rsidR="00853C91" w:rsidRPr="007F1191" w:rsidRDefault="00853C91" w:rsidP="00475909">
      <w:pPr>
        <w:jc w:val="both"/>
        <w:rPr>
          <w:rFonts w:ascii="Arial" w:hAnsi="Arial" w:cs="Arial"/>
          <w:sz w:val="20"/>
          <w:highlight w:val="yellow"/>
          <w:lang w:val="en-GB"/>
        </w:rPr>
      </w:pPr>
    </w:p>
    <w:p w14:paraId="1900E0EC" w14:textId="77777777" w:rsidR="00853C91" w:rsidRPr="007F1191" w:rsidRDefault="00853C91" w:rsidP="00853C91">
      <w:pPr>
        <w:keepNext/>
        <w:jc w:val="both"/>
        <w:rPr>
          <w:rFonts w:ascii="Arial" w:hAnsi="Arial" w:cs="Arial"/>
          <w:sz w:val="20"/>
          <w:highlight w:val="yellow"/>
          <w:lang w:val="en-GB"/>
        </w:rPr>
      </w:pPr>
      <w:r w:rsidRPr="007F1191">
        <w:rPr>
          <w:rFonts w:ascii="Arial" w:hAnsi="Arial" w:cs="Arial"/>
          <w:sz w:val="20"/>
          <w:highlight w:val="yellow"/>
          <w:lang w:val="en-GB"/>
        </w:rPr>
        <w:t>The following clarifications were deemed necessary</w:t>
      </w:r>
      <w:r w:rsidR="00E84393" w:rsidRPr="007F1191">
        <w:rPr>
          <w:rFonts w:ascii="Arial" w:hAnsi="Arial" w:cs="Arial"/>
          <w:sz w:val="20"/>
          <w:highlight w:val="yellow"/>
          <w:lang w:val="en-GB"/>
        </w:rPr>
        <w:t xml:space="preserve"> (arithmetical errors)</w:t>
      </w:r>
      <w:r w:rsidRPr="007F1191">
        <w:rPr>
          <w:rFonts w:ascii="Arial" w:hAnsi="Arial" w:cs="Arial"/>
          <w:sz w:val="20"/>
          <w:highlight w:val="yellow"/>
          <w:lang w:val="en-GB"/>
        </w:rPr>
        <w:t xml:space="preserve">: </w:t>
      </w:r>
    </w:p>
    <w:p w14:paraId="1900E0ED" w14:textId="77777777" w:rsidR="00853C91" w:rsidRPr="007F1191" w:rsidRDefault="00853C91" w:rsidP="00853C91">
      <w:pPr>
        <w:keepNext/>
        <w:numPr>
          <w:ilvl w:val="0"/>
          <w:numId w:val="32"/>
        </w:numPr>
        <w:jc w:val="both"/>
        <w:rPr>
          <w:rFonts w:ascii="Arial" w:hAnsi="Arial" w:cs="Arial"/>
          <w:sz w:val="20"/>
          <w:highlight w:val="yellow"/>
          <w:lang w:val="en-GB"/>
        </w:rPr>
      </w:pPr>
      <w:r w:rsidRPr="007F1191">
        <w:rPr>
          <w:rFonts w:ascii="Arial" w:hAnsi="Arial" w:cs="Arial"/>
          <w:sz w:val="20"/>
          <w:highlight w:val="yellow"/>
          <w:lang w:val="en-GB"/>
        </w:rPr>
        <w:t>Include here details of clarification, and its outcome (acceptable or not?)</w:t>
      </w:r>
    </w:p>
    <w:p w14:paraId="1900E0EE" w14:textId="77777777" w:rsidR="00853C91" w:rsidRPr="007F1191" w:rsidRDefault="00853C91" w:rsidP="00853C91">
      <w:pPr>
        <w:rPr>
          <w:rFonts w:ascii="Arial" w:hAnsi="Arial" w:cs="Arial"/>
          <w:sz w:val="20"/>
          <w:highlight w:val="yellow"/>
          <w:lang w:val="en-GB"/>
        </w:rPr>
      </w:pPr>
    </w:p>
    <w:p w14:paraId="1900E126" w14:textId="77777777" w:rsidR="008A434D" w:rsidRDefault="008A434D" w:rsidP="00853C91">
      <w:pPr>
        <w:rPr>
          <w:rFonts w:ascii="Arial" w:hAnsi="Arial" w:cs="Arial"/>
          <w:b/>
          <w:sz w:val="20"/>
          <w:highlight w:val="lightGray"/>
          <w:lang w:val="en-GB"/>
        </w:rPr>
      </w:pPr>
    </w:p>
    <w:p w14:paraId="1900E127" w14:textId="74C97329" w:rsidR="008A434D" w:rsidRPr="007F1191" w:rsidRDefault="007F1191" w:rsidP="008A434D">
      <w:pPr>
        <w:keepNext/>
        <w:rPr>
          <w:rFonts w:ascii="Arial" w:hAnsi="Arial" w:cs="Arial"/>
          <w:sz w:val="20"/>
          <w:highlight w:val="yellow"/>
          <w:lang w:val="en-GB"/>
        </w:rPr>
      </w:pPr>
      <w:r>
        <w:rPr>
          <w:rFonts w:ascii="Arial" w:hAnsi="Arial" w:cs="Arial"/>
          <w:sz w:val="20"/>
          <w:highlight w:val="yellow"/>
          <w:lang w:val="en-GB"/>
        </w:rPr>
        <w:t>T</w:t>
      </w:r>
      <w:r w:rsidR="008A434D" w:rsidRPr="007F1191">
        <w:rPr>
          <w:rFonts w:ascii="Arial" w:hAnsi="Arial" w:cs="Arial"/>
          <w:sz w:val="20"/>
          <w:highlight w:val="yellow"/>
          <w:lang w:val="en-GB"/>
        </w:rPr>
        <w:t>he final ranking of the tenders which were not excluded during the evaluation was as follows, in order of the arithmetically corrected financial offers:</w:t>
      </w:r>
    </w:p>
    <w:p w14:paraId="1900E128" w14:textId="77777777" w:rsidR="008A434D" w:rsidRPr="007F1191" w:rsidRDefault="008A434D" w:rsidP="00853C91">
      <w:pPr>
        <w:rPr>
          <w:rFonts w:ascii="Arial" w:hAnsi="Arial" w:cs="Arial"/>
          <w:sz w:val="20"/>
          <w:highlight w:val="yellow"/>
          <w:lang w:val="en-GB"/>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2339"/>
        <w:gridCol w:w="2339"/>
      </w:tblGrid>
      <w:tr w:rsidR="007F1191" w:rsidRPr="007F1191" w14:paraId="1900E12D" w14:textId="77777777" w:rsidTr="007F1191">
        <w:trPr>
          <w:cantSplit/>
          <w:tblHeader/>
        </w:trPr>
        <w:tc>
          <w:tcPr>
            <w:tcW w:w="5004" w:type="dxa"/>
            <w:shd w:val="pct10" w:color="auto" w:fill="FFFFFF"/>
          </w:tcPr>
          <w:p w14:paraId="1900E12A" w14:textId="77777777" w:rsidR="007F1191" w:rsidRPr="007F1191" w:rsidRDefault="007F1191" w:rsidP="0070039E">
            <w:pPr>
              <w:spacing w:before="120" w:after="120"/>
              <w:jc w:val="center"/>
              <w:rPr>
                <w:rFonts w:ascii="Arial" w:hAnsi="Arial" w:cs="Arial"/>
                <w:b/>
                <w:sz w:val="20"/>
                <w:highlight w:val="yellow"/>
                <w:lang w:val="en-GB"/>
              </w:rPr>
            </w:pPr>
            <w:r w:rsidRPr="007F1191">
              <w:rPr>
                <w:rFonts w:ascii="Arial" w:hAnsi="Arial" w:cs="Arial"/>
                <w:b/>
                <w:sz w:val="20"/>
                <w:highlight w:val="yellow"/>
                <w:lang w:val="en-GB"/>
              </w:rPr>
              <w:t>Tenderer name</w:t>
            </w:r>
          </w:p>
        </w:tc>
        <w:tc>
          <w:tcPr>
            <w:tcW w:w="2339" w:type="dxa"/>
            <w:shd w:val="pct10" w:color="auto" w:fill="FFFFFF"/>
          </w:tcPr>
          <w:p w14:paraId="1900E12B" w14:textId="77777777" w:rsidR="007F1191" w:rsidRPr="007F1191" w:rsidRDefault="007F1191" w:rsidP="0070039E">
            <w:pPr>
              <w:spacing w:before="120" w:after="120"/>
              <w:jc w:val="center"/>
              <w:rPr>
                <w:rFonts w:ascii="Arial" w:hAnsi="Arial" w:cs="Arial"/>
                <w:b/>
                <w:sz w:val="20"/>
                <w:highlight w:val="yellow"/>
                <w:lang w:val="en-GB"/>
              </w:rPr>
            </w:pPr>
            <w:r w:rsidRPr="007F1191">
              <w:rPr>
                <w:rFonts w:ascii="Arial" w:hAnsi="Arial" w:cs="Arial"/>
                <w:b/>
                <w:sz w:val="20"/>
                <w:highlight w:val="yellow"/>
                <w:lang w:val="en-GB"/>
              </w:rPr>
              <w:t>Financial offer</w:t>
            </w:r>
            <w:r w:rsidRPr="007F1191">
              <w:rPr>
                <w:rFonts w:ascii="Arial" w:hAnsi="Arial" w:cs="Arial"/>
                <w:b/>
                <w:sz w:val="20"/>
                <w:highlight w:val="yellow"/>
                <w:lang w:val="en-GB"/>
              </w:rPr>
              <w:br/>
            </w:r>
            <w:r w:rsidRPr="007F1191">
              <w:rPr>
                <w:rFonts w:ascii="Arial" w:hAnsi="Arial" w:cs="Arial"/>
                <w:sz w:val="20"/>
                <w:highlight w:val="yellow"/>
                <w:lang w:val="en-GB"/>
              </w:rPr>
              <w:t>[after arithmetical correction]</w:t>
            </w:r>
            <w:r w:rsidRPr="007F1191">
              <w:rPr>
                <w:rFonts w:ascii="Arial" w:hAnsi="Arial" w:cs="Arial"/>
                <w:sz w:val="20"/>
                <w:highlight w:val="yellow"/>
                <w:lang w:val="en-GB"/>
              </w:rPr>
              <w:br/>
            </w:r>
            <w:r w:rsidRPr="007F1191">
              <w:rPr>
                <w:rFonts w:ascii="Arial" w:hAnsi="Arial" w:cs="Arial"/>
                <w:b/>
                <w:sz w:val="20"/>
                <w:highlight w:val="yellow"/>
                <w:lang w:val="en-GB"/>
              </w:rPr>
              <w:t>(Euro)</w:t>
            </w:r>
          </w:p>
        </w:tc>
        <w:tc>
          <w:tcPr>
            <w:tcW w:w="2339" w:type="dxa"/>
            <w:shd w:val="pct10" w:color="auto" w:fill="FFFFFF"/>
          </w:tcPr>
          <w:p w14:paraId="1900E12C" w14:textId="77777777" w:rsidR="007F1191" w:rsidRPr="007F1191" w:rsidRDefault="007F1191" w:rsidP="0070039E">
            <w:pPr>
              <w:spacing w:before="120" w:after="120"/>
              <w:jc w:val="center"/>
              <w:rPr>
                <w:rFonts w:ascii="Arial" w:hAnsi="Arial" w:cs="Arial"/>
                <w:b/>
                <w:sz w:val="20"/>
                <w:lang w:val="en-GB"/>
              </w:rPr>
            </w:pPr>
            <w:r w:rsidRPr="007F1191">
              <w:rPr>
                <w:rFonts w:ascii="Arial" w:hAnsi="Arial" w:cs="Arial"/>
                <w:b/>
                <w:sz w:val="20"/>
                <w:highlight w:val="yellow"/>
                <w:lang w:val="en-GB"/>
              </w:rPr>
              <w:t>Final ranking</w:t>
            </w:r>
          </w:p>
        </w:tc>
      </w:tr>
      <w:tr w:rsidR="007F1191" w:rsidRPr="007F1191" w14:paraId="1900E132" w14:textId="77777777" w:rsidTr="007F1191">
        <w:trPr>
          <w:cantSplit/>
        </w:trPr>
        <w:tc>
          <w:tcPr>
            <w:tcW w:w="5004" w:type="dxa"/>
          </w:tcPr>
          <w:p w14:paraId="1900E12F" w14:textId="77777777" w:rsidR="007F1191" w:rsidRPr="007F1191" w:rsidRDefault="007F1191" w:rsidP="00891962">
            <w:pPr>
              <w:keepNext/>
              <w:spacing w:before="80" w:after="80"/>
              <w:jc w:val="both"/>
              <w:rPr>
                <w:rFonts w:ascii="Arial" w:hAnsi="Arial" w:cs="Arial"/>
                <w:sz w:val="20"/>
                <w:lang w:val="en-GB"/>
              </w:rPr>
            </w:pPr>
          </w:p>
        </w:tc>
        <w:tc>
          <w:tcPr>
            <w:tcW w:w="2339" w:type="dxa"/>
          </w:tcPr>
          <w:p w14:paraId="1900E130" w14:textId="77777777" w:rsidR="007F1191" w:rsidRPr="007F1191" w:rsidRDefault="007F1191" w:rsidP="00891962">
            <w:pPr>
              <w:keepNext/>
              <w:spacing w:before="80" w:after="80"/>
              <w:jc w:val="both"/>
              <w:rPr>
                <w:rFonts w:ascii="Arial" w:hAnsi="Arial" w:cs="Arial"/>
                <w:sz w:val="20"/>
                <w:lang w:val="en-GB"/>
              </w:rPr>
            </w:pPr>
          </w:p>
        </w:tc>
        <w:tc>
          <w:tcPr>
            <w:tcW w:w="2339" w:type="dxa"/>
          </w:tcPr>
          <w:p w14:paraId="1900E131" w14:textId="77777777" w:rsidR="007F1191" w:rsidRPr="007F1191" w:rsidRDefault="007F1191" w:rsidP="00891962">
            <w:pPr>
              <w:keepNext/>
              <w:spacing w:before="80" w:after="80"/>
              <w:jc w:val="both"/>
              <w:rPr>
                <w:rFonts w:ascii="Arial" w:hAnsi="Arial" w:cs="Arial"/>
                <w:sz w:val="20"/>
                <w:lang w:val="en-GB"/>
              </w:rPr>
            </w:pPr>
          </w:p>
        </w:tc>
      </w:tr>
      <w:tr w:rsidR="007F1191" w:rsidRPr="007F1191" w14:paraId="1900E137" w14:textId="77777777" w:rsidTr="007F1191">
        <w:trPr>
          <w:cantSplit/>
        </w:trPr>
        <w:tc>
          <w:tcPr>
            <w:tcW w:w="5004" w:type="dxa"/>
          </w:tcPr>
          <w:p w14:paraId="1900E134" w14:textId="77777777" w:rsidR="007F1191" w:rsidRPr="007F1191" w:rsidRDefault="007F1191" w:rsidP="00891962">
            <w:pPr>
              <w:keepNext/>
              <w:spacing w:before="80" w:after="80"/>
              <w:jc w:val="both"/>
              <w:rPr>
                <w:rFonts w:ascii="Arial" w:hAnsi="Arial" w:cs="Arial"/>
                <w:sz w:val="20"/>
                <w:lang w:val="en-GB"/>
              </w:rPr>
            </w:pPr>
          </w:p>
        </w:tc>
        <w:tc>
          <w:tcPr>
            <w:tcW w:w="2339" w:type="dxa"/>
          </w:tcPr>
          <w:p w14:paraId="1900E135" w14:textId="77777777" w:rsidR="007F1191" w:rsidRPr="007F1191" w:rsidRDefault="007F1191" w:rsidP="00891962">
            <w:pPr>
              <w:keepNext/>
              <w:spacing w:before="80" w:after="80"/>
              <w:jc w:val="both"/>
              <w:rPr>
                <w:rFonts w:ascii="Arial" w:hAnsi="Arial" w:cs="Arial"/>
                <w:sz w:val="20"/>
                <w:lang w:val="en-GB"/>
              </w:rPr>
            </w:pPr>
          </w:p>
        </w:tc>
        <w:tc>
          <w:tcPr>
            <w:tcW w:w="2339" w:type="dxa"/>
          </w:tcPr>
          <w:p w14:paraId="1900E136" w14:textId="77777777" w:rsidR="007F1191" w:rsidRPr="007F1191" w:rsidRDefault="007F1191" w:rsidP="00891962">
            <w:pPr>
              <w:keepNext/>
              <w:spacing w:before="80" w:after="80"/>
              <w:jc w:val="both"/>
              <w:rPr>
                <w:rFonts w:ascii="Arial" w:hAnsi="Arial" w:cs="Arial"/>
                <w:sz w:val="20"/>
                <w:lang w:val="en-GB"/>
              </w:rPr>
            </w:pPr>
          </w:p>
        </w:tc>
      </w:tr>
    </w:tbl>
    <w:p w14:paraId="1900E138" w14:textId="77777777" w:rsidR="0092390F" w:rsidRPr="007F1191" w:rsidRDefault="0092390F" w:rsidP="0092390F">
      <w:pPr>
        <w:rPr>
          <w:rFonts w:ascii="Arial" w:hAnsi="Arial" w:cs="Arial"/>
          <w:sz w:val="20"/>
          <w:lang w:val="en-GB"/>
        </w:rPr>
      </w:pPr>
    </w:p>
    <w:p w14:paraId="1900E139" w14:textId="77777777" w:rsidR="0092390F" w:rsidRPr="007F1191" w:rsidRDefault="0092390F" w:rsidP="0092390F">
      <w:pPr>
        <w:rPr>
          <w:rFonts w:ascii="Arial" w:hAnsi="Arial" w:cs="Arial"/>
          <w:sz w:val="20"/>
          <w:lang w:val="en-GB"/>
        </w:rPr>
      </w:pPr>
    </w:p>
    <w:p w14:paraId="1900E13A" w14:textId="276C80C0" w:rsidR="00093493" w:rsidRPr="007F1191" w:rsidRDefault="007F1191" w:rsidP="007F1191">
      <w:pPr>
        <w:pStyle w:val="ListParagraph"/>
        <w:keepNext/>
        <w:numPr>
          <w:ilvl w:val="0"/>
          <w:numId w:val="34"/>
        </w:numPr>
        <w:jc w:val="both"/>
        <w:rPr>
          <w:rFonts w:ascii="Arial" w:hAnsi="Arial" w:cs="Arial"/>
          <w:b/>
          <w:sz w:val="20"/>
          <w:lang w:val="en-GB"/>
        </w:rPr>
      </w:pPr>
      <w:r w:rsidRPr="007F1191">
        <w:rPr>
          <w:rFonts w:ascii="Arial" w:hAnsi="Arial" w:cs="Arial"/>
          <w:b/>
          <w:sz w:val="20"/>
          <w:lang w:val="en-GB"/>
        </w:rPr>
        <w:t>CONCLUSION</w:t>
      </w:r>
    </w:p>
    <w:p w14:paraId="1900E13B" w14:textId="77777777" w:rsidR="0092390F" w:rsidRPr="007F1191" w:rsidRDefault="0092390F" w:rsidP="0092390F">
      <w:pPr>
        <w:rPr>
          <w:rFonts w:ascii="Arial" w:hAnsi="Arial" w:cs="Arial"/>
          <w:sz w:val="20"/>
          <w:lang w:val="en-GB"/>
        </w:rPr>
      </w:pPr>
    </w:p>
    <w:p w14:paraId="1900E13C" w14:textId="77777777" w:rsidR="00BC3B7A" w:rsidRPr="007F1191" w:rsidRDefault="00FF3670">
      <w:pPr>
        <w:keepNext/>
        <w:jc w:val="both"/>
        <w:rPr>
          <w:rFonts w:ascii="Arial" w:hAnsi="Arial" w:cs="Arial"/>
          <w:sz w:val="20"/>
          <w:lang w:val="en-GB"/>
        </w:rPr>
      </w:pPr>
      <w:r w:rsidRPr="007F1191">
        <w:rPr>
          <w:rFonts w:ascii="Arial" w:hAnsi="Arial" w:cs="Arial"/>
          <w:sz w:val="20"/>
          <w:lang w:val="en-GB"/>
        </w:rPr>
        <w:t xml:space="preserve">Pursuant to the above, </w:t>
      </w:r>
      <w:r w:rsidR="005A18AF" w:rsidRPr="007F1191">
        <w:rPr>
          <w:rFonts w:ascii="Arial" w:hAnsi="Arial" w:cs="Arial"/>
          <w:sz w:val="20"/>
          <w:lang w:val="en-GB"/>
        </w:rPr>
        <w:t>the Evalu</w:t>
      </w:r>
      <w:r w:rsidR="00B95DB4" w:rsidRPr="007F1191">
        <w:rPr>
          <w:rFonts w:ascii="Arial" w:hAnsi="Arial" w:cs="Arial"/>
          <w:sz w:val="20"/>
          <w:lang w:val="en-GB"/>
        </w:rPr>
        <w:t xml:space="preserve">ation Committee recommends that this tender is awarded to </w:t>
      </w:r>
      <w:r w:rsidR="00B95DB4" w:rsidRPr="007F1191">
        <w:rPr>
          <w:rFonts w:ascii="Arial" w:hAnsi="Arial" w:cs="Arial"/>
          <w:sz w:val="20"/>
          <w:highlight w:val="yellow"/>
          <w:lang w:val="en-GB"/>
        </w:rPr>
        <w:t>[name of bidder]</w:t>
      </w:r>
      <w:r w:rsidR="00B95DB4" w:rsidRPr="007F1191">
        <w:rPr>
          <w:rFonts w:ascii="Arial" w:hAnsi="Arial" w:cs="Arial"/>
          <w:sz w:val="20"/>
          <w:lang w:val="en-GB"/>
        </w:rPr>
        <w:t xml:space="preserve"> for the amount of </w:t>
      </w:r>
      <w:r w:rsidR="00B95DB4" w:rsidRPr="007F1191">
        <w:rPr>
          <w:rFonts w:ascii="Arial" w:hAnsi="Arial" w:cs="Arial"/>
          <w:sz w:val="20"/>
          <w:highlight w:val="yellow"/>
          <w:lang w:val="en-GB"/>
        </w:rPr>
        <w:t>[€………] exclusive of VAT</w:t>
      </w:r>
      <w:r w:rsidR="00D67275" w:rsidRPr="007F1191">
        <w:rPr>
          <w:rFonts w:ascii="Arial" w:hAnsi="Arial" w:cs="Arial"/>
          <w:sz w:val="20"/>
          <w:lang w:val="en-GB"/>
        </w:rPr>
        <w:t>, this being the cheapest compliant offer/the most economically advantageous offer</w:t>
      </w:r>
      <w:r w:rsidR="00434888" w:rsidRPr="007F1191">
        <w:rPr>
          <w:rFonts w:ascii="Arial" w:hAnsi="Arial" w:cs="Arial"/>
          <w:sz w:val="20"/>
          <w:lang w:val="en-GB"/>
        </w:rPr>
        <w:t>.</w:t>
      </w:r>
    </w:p>
    <w:p w14:paraId="1900E13D" w14:textId="77777777" w:rsidR="00750D71" w:rsidRPr="007F1191" w:rsidRDefault="00750D71" w:rsidP="0092390F">
      <w:pPr>
        <w:rPr>
          <w:rFonts w:ascii="Arial" w:hAnsi="Arial" w:cs="Arial"/>
          <w:sz w:val="20"/>
          <w:lang w:val="en-GB"/>
        </w:rPr>
      </w:pPr>
    </w:p>
    <w:p w14:paraId="1900E149" w14:textId="77777777" w:rsidR="00AD6307" w:rsidRPr="007F1191" w:rsidRDefault="00AD6307" w:rsidP="0092390F">
      <w:pPr>
        <w:rPr>
          <w:rFonts w:ascii="Arial" w:hAnsi="Arial" w:cs="Arial"/>
          <w:sz w:val="20"/>
          <w:lang w:val="en-GB"/>
        </w:rPr>
      </w:pPr>
    </w:p>
    <w:p w14:paraId="1900E14D" w14:textId="77777777" w:rsidR="00974ED2" w:rsidRPr="007F1191" w:rsidRDefault="00974ED2" w:rsidP="0092390F">
      <w:pPr>
        <w:rPr>
          <w:rFonts w:ascii="Arial" w:hAnsi="Arial" w:cs="Arial"/>
          <w:sz w:val="20"/>
          <w:lang w:val="en-GB"/>
        </w:rPr>
      </w:pPr>
    </w:p>
    <w:p w14:paraId="1900E14E" w14:textId="32D7F4B2" w:rsidR="004F7612" w:rsidRPr="007F1191" w:rsidRDefault="007F1191" w:rsidP="007F1191">
      <w:pPr>
        <w:pStyle w:val="ListParagraph"/>
        <w:keepNext/>
        <w:numPr>
          <w:ilvl w:val="0"/>
          <w:numId w:val="34"/>
        </w:numPr>
        <w:jc w:val="both"/>
        <w:rPr>
          <w:rFonts w:ascii="Arial" w:hAnsi="Arial" w:cs="Arial"/>
          <w:b/>
          <w:sz w:val="20"/>
          <w:lang w:val="en-GB"/>
        </w:rPr>
      </w:pPr>
      <w:r w:rsidRPr="007F1191">
        <w:rPr>
          <w:rFonts w:ascii="Arial" w:hAnsi="Arial" w:cs="Arial"/>
          <w:b/>
          <w:sz w:val="20"/>
          <w:lang w:val="en-GB"/>
        </w:rPr>
        <w:t>SIGNATURES</w:t>
      </w:r>
    </w:p>
    <w:p w14:paraId="1900E14F" w14:textId="77777777" w:rsidR="001E6D69" w:rsidRPr="007F1191" w:rsidRDefault="001E6D69">
      <w:pPr>
        <w:rPr>
          <w:rFonts w:ascii="Arial" w:hAnsi="Arial" w:cs="Arial"/>
          <w:sz w:val="20"/>
        </w:rPr>
      </w:pPr>
    </w:p>
    <w:tbl>
      <w:tblPr>
        <w:tblW w:w="982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3764"/>
        <w:gridCol w:w="3752"/>
      </w:tblGrid>
      <w:tr w:rsidR="005C05C9" w:rsidRPr="007F1191" w14:paraId="1900E153" w14:textId="77777777" w:rsidTr="007F1191">
        <w:trPr>
          <w:cantSplit/>
        </w:trPr>
        <w:tc>
          <w:tcPr>
            <w:tcW w:w="2311" w:type="dxa"/>
            <w:tcBorders>
              <w:top w:val="nil"/>
              <w:left w:val="nil"/>
              <w:bottom w:val="single" w:sz="4" w:space="0" w:color="auto"/>
              <w:right w:val="single" w:sz="4" w:space="0" w:color="auto"/>
            </w:tcBorders>
          </w:tcPr>
          <w:p w14:paraId="1900E150" w14:textId="77777777" w:rsidR="005C05C9" w:rsidRPr="007F1191" w:rsidRDefault="005C05C9" w:rsidP="004F7612">
            <w:pPr>
              <w:keepLines/>
              <w:spacing w:before="120" w:after="120"/>
              <w:jc w:val="center"/>
              <w:rPr>
                <w:rFonts w:ascii="Arial" w:hAnsi="Arial" w:cs="Arial"/>
                <w:b/>
                <w:sz w:val="20"/>
                <w:lang w:val="en-GB"/>
              </w:rPr>
            </w:pPr>
          </w:p>
        </w:tc>
        <w:tc>
          <w:tcPr>
            <w:tcW w:w="3764" w:type="dxa"/>
            <w:tcBorders>
              <w:top w:val="single" w:sz="4" w:space="0" w:color="auto"/>
              <w:left w:val="single" w:sz="4" w:space="0" w:color="auto"/>
              <w:right w:val="single" w:sz="4" w:space="0" w:color="auto"/>
            </w:tcBorders>
            <w:shd w:val="clear" w:color="auto" w:fill="F2F2F2" w:themeFill="background1" w:themeFillShade="F2"/>
          </w:tcPr>
          <w:p w14:paraId="1900E151" w14:textId="77777777" w:rsidR="005C05C9" w:rsidRPr="007F1191" w:rsidRDefault="005C05C9" w:rsidP="004F7612">
            <w:pPr>
              <w:keepLines/>
              <w:spacing w:before="120" w:after="120"/>
              <w:jc w:val="center"/>
              <w:rPr>
                <w:rFonts w:ascii="Arial" w:hAnsi="Arial" w:cs="Arial"/>
                <w:b/>
                <w:sz w:val="20"/>
                <w:lang w:val="en-GB"/>
              </w:rPr>
            </w:pPr>
            <w:r w:rsidRPr="007F1191">
              <w:rPr>
                <w:rFonts w:ascii="Arial" w:hAnsi="Arial" w:cs="Arial"/>
                <w:b/>
                <w:sz w:val="20"/>
                <w:lang w:val="en-GB"/>
              </w:rPr>
              <w:t>Name</w:t>
            </w:r>
          </w:p>
        </w:tc>
        <w:tc>
          <w:tcPr>
            <w:tcW w:w="3752" w:type="dxa"/>
            <w:tcBorders>
              <w:top w:val="single" w:sz="4" w:space="0" w:color="auto"/>
              <w:left w:val="single" w:sz="4" w:space="0" w:color="auto"/>
              <w:right w:val="single" w:sz="4" w:space="0" w:color="auto"/>
            </w:tcBorders>
            <w:shd w:val="clear" w:color="auto" w:fill="F2F2F2" w:themeFill="background1" w:themeFillShade="F2"/>
          </w:tcPr>
          <w:p w14:paraId="1900E152" w14:textId="77777777" w:rsidR="005C05C9" w:rsidRPr="007F1191" w:rsidRDefault="005C05C9" w:rsidP="004F7612">
            <w:pPr>
              <w:keepLines/>
              <w:spacing w:before="120" w:after="120"/>
              <w:jc w:val="center"/>
              <w:rPr>
                <w:rFonts w:ascii="Arial" w:hAnsi="Arial" w:cs="Arial"/>
                <w:b/>
                <w:sz w:val="20"/>
                <w:lang w:val="en-GB"/>
              </w:rPr>
            </w:pPr>
            <w:r w:rsidRPr="007F1191">
              <w:rPr>
                <w:rFonts w:ascii="Arial" w:hAnsi="Arial" w:cs="Arial"/>
                <w:b/>
                <w:sz w:val="20"/>
                <w:lang w:val="en-GB"/>
              </w:rPr>
              <w:t>Signature</w:t>
            </w:r>
          </w:p>
        </w:tc>
      </w:tr>
      <w:tr w:rsidR="005C05C9" w:rsidRPr="007F1191" w14:paraId="1900E157" w14:textId="77777777" w:rsidTr="007F1191">
        <w:trPr>
          <w:cantSplit/>
          <w:trHeight w:val="303"/>
        </w:trPr>
        <w:tc>
          <w:tcPr>
            <w:tcW w:w="2311" w:type="dxa"/>
            <w:tcBorders>
              <w:top w:val="single" w:sz="4" w:space="0" w:color="auto"/>
              <w:left w:val="single" w:sz="4" w:space="0" w:color="auto"/>
              <w:bottom w:val="single" w:sz="4" w:space="0" w:color="auto"/>
            </w:tcBorders>
            <w:shd w:val="clear" w:color="auto" w:fill="F2F2F2" w:themeFill="background1" w:themeFillShade="F2"/>
          </w:tcPr>
          <w:p w14:paraId="1900E154" w14:textId="77777777" w:rsidR="005C05C9" w:rsidRPr="007F1191" w:rsidRDefault="00276D36" w:rsidP="007F1191">
            <w:pPr>
              <w:keepLines/>
              <w:spacing w:before="100" w:after="100" w:line="360" w:lineRule="auto"/>
              <w:jc w:val="both"/>
              <w:rPr>
                <w:rFonts w:ascii="Arial" w:hAnsi="Arial" w:cs="Arial"/>
                <w:b/>
                <w:sz w:val="20"/>
                <w:lang w:val="en-GB"/>
              </w:rPr>
            </w:pPr>
            <w:r w:rsidRPr="007F1191">
              <w:rPr>
                <w:rFonts w:ascii="Arial" w:hAnsi="Arial" w:cs="Arial"/>
                <w:b/>
                <w:sz w:val="20"/>
                <w:lang w:val="en-GB"/>
              </w:rPr>
              <w:t>Chairperson</w:t>
            </w:r>
          </w:p>
        </w:tc>
        <w:tc>
          <w:tcPr>
            <w:tcW w:w="3764" w:type="dxa"/>
          </w:tcPr>
          <w:p w14:paraId="1900E155" w14:textId="77777777" w:rsidR="005C05C9" w:rsidRPr="007F1191" w:rsidRDefault="005C05C9" w:rsidP="007F1191">
            <w:pPr>
              <w:keepLines/>
              <w:spacing w:before="100" w:after="100" w:line="360" w:lineRule="auto"/>
              <w:jc w:val="both"/>
              <w:rPr>
                <w:rFonts w:ascii="Arial" w:hAnsi="Arial" w:cs="Arial"/>
                <w:sz w:val="20"/>
                <w:lang w:val="en-GB"/>
              </w:rPr>
            </w:pPr>
          </w:p>
        </w:tc>
        <w:tc>
          <w:tcPr>
            <w:tcW w:w="3752" w:type="dxa"/>
          </w:tcPr>
          <w:p w14:paraId="1900E156" w14:textId="77777777" w:rsidR="005C05C9" w:rsidRPr="007F1191" w:rsidRDefault="005C05C9" w:rsidP="007F1191">
            <w:pPr>
              <w:keepLines/>
              <w:spacing w:before="100" w:after="100" w:line="360" w:lineRule="auto"/>
              <w:jc w:val="both"/>
              <w:rPr>
                <w:rFonts w:ascii="Arial" w:hAnsi="Arial" w:cs="Arial"/>
                <w:sz w:val="20"/>
                <w:lang w:val="en-GB"/>
              </w:rPr>
            </w:pPr>
          </w:p>
        </w:tc>
      </w:tr>
      <w:tr w:rsidR="005C05C9" w:rsidRPr="007F1191" w14:paraId="1900E15B" w14:textId="77777777" w:rsidTr="007F1191">
        <w:trPr>
          <w:cantSplit/>
        </w:trPr>
        <w:tc>
          <w:tcPr>
            <w:tcW w:w="2311" w:type="dxa"/>
            <w:tcBorders>
              <w:top w:val="single" w:sz="4" w:space="0" w:color="auto"/>
              <w:left w:val="single" w:sz="4" w:space="0" w:color="auto"/>
              <w:bottom w:val="single" w:sz="4" w:space="0" w:color="auto"/>
            </w:tcBorders>
            <w:shd w:val="clear" w:color="auto" w:fill="F2F2F2" w:themeFill="background1" w:themeFillShade="F2"/>
          </w:tcPr>
          <w:p w14:paraId="1900E158" w14:textId="77777777" w:rsidR="005C05C9" w:rsidRPr="007F1191" w:rsidRDefault="005C05C9" w:rsidP="007F1191">
            <w:pPr>
              <w:keepLines/>
              <w:spacing w:before="100" w:after="100" w:line="360" w:lineRule="auto"/>
              <w:jc w:val="both"/>
              <w:rPr>
                <w:rFonts w:ascii="Arial" w:hAnsi="Arial" w:cs="Arial"/>
                <w:b/>
                <w:sz w:val="20"/>
                <w:lang w:val="en-GB"/>
              </w:rPr>
            </w:pPr>
            <w:r w:rsidRPr="007F1191">
              <w:rPr>
                <w:rFonts w:ascii="Arial" w:hAnsi="Arial" w:cs="Arial"/>
                <w:b/>
                <w:sz w:val="20"/>
                <w:lang w:val="en-GB"/>
              </w:rPr>
              <w:t>Secretary</w:t>
            </w:r>
          </w:p>
        </w:tc>
        <w:tc>
          <w:tcPr>
            <w:tcW w:w="3764" w:type="dxa"/>
          </w:tcPr>
          <w:p w14:paraId="1900E159" w14:textId="77777777" w:rsidR="005C05C9" w:rsidRPr="007F1191" w:rsidRDefault="005C05C9" w:rsidP="007F1191">
            <w:pPr>
              <w:keepLines/>
              <w:spacing w:before="100" w:after="100" w:line="360" w:lineRule="auto"/>
              <w:jc w:val="both"/>
              <w:rPr>
                <w:rFonts w:ascii="Arial" w:hAnsi="Arial" w:cs="Arial"/>
                <w:sz w:val="20"/>
                <w:lang w:val="en-GB"/>
              </w:rPr>
            </w:pPr>
          </w:p>
        </w:tc>
        <w:tc>
          <w:tcPr>
            <w:tcW w:w="3752" w:type="dxa"/>
          </w:tcPr>
          <w:p w14:paraId="1900E15A" w14:textId="77777777" w:rsidR="005C05C9" w:rsidRPr="007F1191" w:rsidRDefault="005C05C9" w:rsidP="007F1191">
            <w:pPr>
              <w:keepLines/>
              <w:spacing w:before="100" w:after="100" w:line="360" w:lineRule="auto"/>
              <w:jc w:val="both"/>
              <w:rPr>
                <w:rFonts w:ascii="Arial" w:hAnsi="Arial" w:cs="Arial"/>
                <w:sz w:val="20"/>
                <w:lang w:val="en-GB"/>
              </w:rPr>
            </w:pPr>
          </w:p>
        </w:tc>
      </w:tr>
      <w:tr w:rsidR="005C05C9" w:rsidRPr="007F1191" w14:paraId="1900E15F" w14:textId="77777777" w:rsidTr="007F1191">
        <w:trPr>
          <w:cantSplit/>
        </w:trPr>
        <w:tc>
          <w:tcPr>
            <w:tcW w:w="2311" w:type="dxa"/>
            <w:tcBorders>
              <w:top w:val="single" w:sz="4" w:space="0" w:color="auto"/>
              <w:left w:val="single" w:sz="4" w:space="0" w:color="auto"/>
              <w:bottom w:val="single" w:sz="4" w:space="0" w:color="auto"/>
            </w:tcBorders>
            <w:shd w:val="clear" w:color="auto" w:fill="F2F2F2" w:themeFill="background1" w:themeFillShade="F2"/>
          </w:tcPr>
          <w:p w14:paraId="1900E15C" w14:textId="77777777" w:rsidR="005C05C9" w:rsidRPr="007F1191" w:rsidRDefault="005C05C9" w:rsidP="007F1191">
            <w:pPr>
              <w:keepLines/>
              <w:spacing w:before="100" w:after="100" w:line="360" w:lineRule="auto"/>
              <w:jc w:val="both"/>
              <w:rPr>
                <w:rFonts w:ascii="Arial" w:hAnsi="Arial" w:cs="Arial"/>
                <w:b/>
                <w:sz w:val="20"/>
                <w:lang w:val="en-GB"/>
              </w:rPr>
            </w:pPr>
            <w:r w:rsidRPr="007F1191">
              <w:rPr>
                <w:rFonts w:ascii="Arial" w:hAnsi="Arial" w:cs="Arial"/>
                <w:b/>
                <w:sz w:val="20"/>
                <w:lang w:val="en-GB"/>
              </w:rPr>
              <w:t>Evaluators</w:t>
            </w:r>
          </w:p>
        </w:tc>
        <w:tc>
          <w:tcPr>
            <w:tcW w:w="3764" w:type="dxa"/>
          </w:tcPr>
          <w:p w14:paraId="1900E15D" w14:textId="77777777" w:rsidR="005C05C9" w:rsidRPr="007F1191" w:rsidRDefault="005C05C9" w:rsidP="007F1191">
            <w:pPr>
              <w:keepLines/>
              <w:spacing w:before="100" w:after="100" w:line="360" w:lineRule="auto"/>
              <w:jc w:val="both"/>
              <w:rPr>
                <w:rFonts w:ascii="Arial" w:hAnsi="Arial" w:cs="Arial"/>
                <w:sz w:val="20"/>
                <w:lang w:val="en-GB"/>
              </w:rPr>
            </w:pPr>
          </w:p>
        </w:tc>
        <w:tc>
          <w:tcPr>
            <w:tcW w:w="3752" w:type="dxa"/>
          </w:tcPr>
          <w:p w14:paraId="1900E15E" w14:textId="77777777" w:rsidR="005C05C9" w:rsidRPr="007F1191" w:rsidRDefault="005C05C9" w:rsidP="007F1191">
            <w:pPr>
              <w:keepLines/>
              <w:spacing w:before="100" w:after="100" w:line="360" w:lineRule="auto"/>
              <w:jc w:val="both"/>
              <w:rPr>
                <w:rFonts w:ascii="Arial" w:hAnsi="Arial" w:cs="Arial"/>
                <w:sz w:val="20"/>
                <w:lang w:val="en-GB"/>
              </w:rPr>
            </w:pPr>
          </w:p>
        </w:tc>
      </w:tr>
      <w:tr w:rsidR="007F1191" w:rsidRPr="007F1191" w14:paraId="2889BCFA" w14:textId="77777777" w:rsidTr="007F1191">
        <w:trPr>
          <w:cantSplit/>
        </w:trPr>
        <w:tc>
          <w:tcPr>
            <w:tcW w:w="2311" w:type="dxa"/>
            <w:tcBorders>
              <w:top w:val="single" w:sz="4" w:space="0" w:color="auto"/>
              <w:left w:val="single" w:sz="4" w:space="0" w:color="auto"/>
              <w:bottom w:val="single" w:sz="4" w:space="0" w:color="auto"/>
            </w:tcBorders>
            <w:shd w:val="clear" w:color="auto" w:fill="F2F2F2" w:themeFill="background1" w:themeFillShade="F2"/>
          </w:tcPr>
          <w:p w14:paraId="07029227" w14:textId="77777777" w:rsidR="007F1191" w:rsidRPr="007F1191" w:rsidRDefault="007F1191" w:rsidP="007F1191">
            <w:pPr>
              <w:keepLines/>
              <w:spacing w:before="100" w:after="100" w:line="360" w:lineRule="auto"/>
              <w:jc w:val="both"/>
              <w:rPr>
                <w:rFonts w:ascii="Arial" w:hAnsi="Arial" w:cs="Arial"/>
                <w:b/>
                <w:sz w:val="20"/>
                <w:lang w:val="en-GB"/>
              </w:rPr>
            </w:pPr>
          </w:p>
        </w:tc>
        <w:tc>
          <w:tcPr>
            <w:tcW w:w="3764" w:type="dxa"/>
          </w:tcPr>
          <w:p w14:paraId="08AD9EDD" w14:textId="77777777" w:rsidR="007F1191" w:rsidRPr="007F1191" w:rsidRDefault="007F1191" w:rsidP="007F1191">
            <w:pPr>
              <w:keepLines/>
              <w:spacing w:before="100" w:after="100" w:line="360" w:lineRule="auto"/>
              <w:jc w:val="both"/>
              <w:rPr>
                <w:rFonts w:ascii="Arial" w:hAnsi="Arial" w:cs="Arial"/>
                <w:sz w:val="20"/>
                <w:lang w:val="en-GB"/>
              </w:rPr>
            </w:pPr>
          </w:p>
        </w:tc>
        <w:tc>
          <w:tcPr>
            <w:tcW w:w="3752" w:type="dxa"/>
          </w:tcPr>
          <w:p w14:paraId="07B43CB6" w14:textId="77777777" w:rsidR="007F1191" w:rsidRPr="007F1191" w:rsidRDefault="007F1191" w:rsidP="007F1191">
            <w:pPr>
              <w:keepLines/>
              <w:spacing w:before="100" w:after="100" w:line="360" w:lineRule="auto"/>
              <w:jc w:val="both"/>
              <w:rPr>
                <w:rFonts w:ascii="Arial" w:hAnsi="Arial" w:cs="Arial"/>
                <w:sz w:val="20"/>
                <w:lang w:val="en-GB"/>
              </w:rPr>
            </w:pPr>
          </w:p>
        </w:tc>
      </w:tr>
      <w:tr w:rsidR="007F1191" w:rsidRPr="007F1191" w14:paraId="6F7D59EB" w14:textId="77777777" w:rsidTr="007F1191">
        <w:trPr>
          <w:cantSplit/>
        </w:trPr>
        <w:tc>
          <w:tcPr>
            <w:tcW w:w="2311" w:type="dxa"/>
            <w:tcBorders>
              <w:top w:val="single" w:sz="4" w:space="0" w:color="auto"/>
              <w:left w:val="single" w:sz="4" w:space="0" w:color="auto"/>
              <w:bottom w:val="single" w:sz="4" w:space="0" w:color="auto"/>
            </w:tcBorders>
            <w:shd w:val="clear" w:color="auto" w:fill="F2F2F2" w:themeFill="background1" w:themeFillShade="F2"/>
          </w:tcPr>
          <w:p w14:paraId="45058872" w14:textId="77777777" w:rsidR="007F1191" w:rsidRPr="007F1191" w:rsidRDefault="007F1191" w:rsidP="007F1191">
            <w:pPr>
              <w:keepLines/>
              <w:spacing w:before="100" w:after="100" w:line="360" w:lineRule="auto"/>
              <w:jc w:val="both"/>
              <w:rPr>
                <w:rFonts w:ascii="Arial" w:hAnsi="Arial" w:cs="Arial"/>
                <w:b/>
                <w:sz w:val="20"/>
                <w:lang w:val="en-GB"/>
              </w:rPr>
            </w:pPr>
          </w:p>
        </w:tc>
        <w:tc>
          <w:tcPr>
            <w:tcW w:w="3764" w:type="dxa"/>
          </w:tcPr>
          <w:p w14:paraId="0050498C" w14:textId="77777777" w:rsidR="007F1191" w:rsidRPr="007F1191" w:rsidRDefault="007F1191" w:rsidP="007F1191">
            <w:pPr>
              <w:keepLines/>
              <w:spacing w:before="100" w:after="100" w:line="360" w:lineRule="auto"/>
              <w:jc w:val="both"/>
              <w:rPr>
                <w:rFonts w:ascii="Arial" w:hAnsi="Arial" w:cs="Arial"/>
                <w:sz w:val="20"/>
                <w:lang w:val="en-GB"/>
              </w:rPr>
            </w:pPr>
          </w:p>
        </w:tc>
        <w:tc>
          <w:tcPr>
            <w:tcW w:w="3752" w:type="dxa"/>
          </w:tcPr>
          <w:p w14:paraId="232221F4" w14:textId="77777777" w:rsidR="007F1191" w:rsidRPr="007F1191" w:rsidRDefault="007F1191" w:rsidP="007F1191">
            <w:pPr>
              <w:keepLines/>
              <w:spacing w:before="100" w:after="100" w:line="360" w:lineRule="auto"/>
              <w:jc w:val="both"/>
              <w:rPr>
                <w:rFonts w:ascii="Arial" w:hAnsi="Arial" w:cs="Arial"/>
                <w:sz w:val="20"/>
                <w:lang w:val="en-GB"/>
              </w:rPr>
            </w:pPr>
          </w:p>
        </w:tc>
      </w:tr>
    </w:tbl>
    <w:p w14:paraId="1900E26C" w14:textId="77777777" w:rsidR="005A0BE2" w:rsidRPr="007F1191" w:rsidRDefault="005A0BE2" w:rsidP="007F1191">
      <w:pPr>
        <w:spacing w:before="40" w:after="40" w:line="360" w:lineRule="auto"/>
        <w:jc w:val="both"/>
        <w:rPr>
          <w:rFonts w:ascii="Arial" w:hAnsi="Arial" w:cs="Arial"/>
          <w:sz w:val="20"/>
          <w:lang w:val="en-GB"/>
        </w:rPr>
      </w:pPr>
    </w:p>
    <w:sectPr w:rsidR="005A0BE2" w:rsidRPr="007F1191" w:rsidSect="007F1191">
      <w:headerReference w:type="first" r:id="rId11"/>
      <w:footnotePr>
        <w:numFmt w:val="chicago"/>
      </w:footnotePr>
      <w:type w:val="continuous"/>
      <w:pgSz w:w="11906" w:h="16838" w:code="9"/>
      <w:pgMar w:top="1134" w:right="1077" w:bottom="709" w:left="102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E06A" w14:textId="77777777" w:rsidR="00A35B42" w:rsidRDefault="00A35B42">
      <w:r>
        <w:separator/>
      </w:r>
    </w:p>
  </w:endnote>
  <w:endnote w:type="continuationSeparator" w:id="0">
    <w:p w14:paraId="6B0EEA4D" w14:textId="77777777" w:rsidR="00A35B42" w:rsidRDefault="00A3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 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7A42" w14:textId="77777777" w:rsidR="00A35B42" w:rsidRDefault="00A35B42">
      <w:r>
        <w:separator/>
      </w:r>
    </w:p>
  </w:footnote>
  <w:footnote w:type="continuationSeparator" w:id="0">
    <w:p w14:paraId="5A10CC74" w14:textId="77777777" w:rsidR="00A35B42" w:rsidRDefault="00A3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279" w14:textId="77777777" w:rsidR="004A6616" w:rsidRDefault="004A6616">
    <w:pPr>
      <w:pStyle w:val="titlefront"/>
      <w:spacing w:before="0"/>
      <w:ind w:left="0"/>
      <w:jc w:val="center"/>
      <w:outlineLvl w:val="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92D03"/>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65E14"/>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774D93"/>
    <w:multiLevelType w:val="multilevel"/>
    <w:tmpl w:val="AF723D36"/>
    <w:lvl w:ilvl="0">
      <w:start w:val="1"/>
      <w:numFmt w:val="decimal"/>
      <w:lvlText w:val="%1."/>
      <w:lvlJc w:val="left"/>
      <w:pPr>
        <w:ind w:left="226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F4A7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604E2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022FCE"/>
    <w:multiLevelType w:val="hybridMultilevel"/>
    <w:tmpl w:val="68BA4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37E2B"/>
    <w:multiLevelType w:val="hybridMultilevel"/>
    <w:tmpl w:val="16AE9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66E3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E7967"/>
    <w:multiLevelType w:val="hybridMultilevel"/>
    <w:tmpl w:val="2F5E80FE"/>
    <w:lvl w:ilvl="0" w:tplc="FAE856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24F51"/>
    <w:multiLevelType w:val="hybridMultilevel"/>
    <w:tmpl w:val="1C8EBB22"/>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3D2D329C"/>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F006B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9C2E5A"/>
    <w:multiLevelType w:val="multilevel"/>
    <w:tmpl w:val="FED48F50"/>
    <w:lvl w:ilvl="0">
      <w:start w:val="1"/>
      <w:numFmt w:val="decimal"/>
      <w:lvlText w:val="%1."/>
      <w:lvlJc w:val="left"/>
      <w:pPr>
        <w:ind w:left="206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AD0D82"/>
    <w:multiLevelType w:val="hybridMultilevel"/>
    <w:tmpl w:val="C4FC7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482686"/>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C004A8"/>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242F8"/>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1762E6"/>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4F02F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BD603F"/>
    <w:multiLevelType w:val="hybridMultilevel"/>
    <w:tmpl w:val="496AD618"/>
    <w:lvl w:ilvl="0" w:tplc="0809000F">
      <w:start w:val="1"/>
      <w:numFmt w:val="decimal"/>
      <w:lvlText w:val="%1."/>
      <w:lvlJc w:val="left"/>
      <w:pPr>
        <w:tabs>
          <w:tab w:val="num" w:pos="774"/>
        </w:tabs>
        <w:ind w:left="774" w:hanging="360"/>
      </w:pPr>
    </w:lvl>
    <w:lvl w:ilvl="1" w:tplc="08090019" w:tentative="1">
      <w:start w:val="1"/>
      <w:numFmt w:val="lowerLetter"/>
      <w:lvlText w:val="%2."/>
      <w:lvlJc w:val="left"/>
      <w:pPr>
        <w:tabs>
          <w:tab w:val="num" w:pos="1494"/>
        </w:tabs>
        <w:ind w:left="1494" w:hanging="360"/>
      </w:pPr>
    </w:lvl>
    <w:lvl w:ilvl="2" w:tplc="0809001B" w:tentative="1">
      <w:start w:val="1"/>
      <w:numFmt w:val="lowerRoman"/>
      <w:lvlText w:val="%3."/>
      <w:lvlJc w:val="right"/>
      <w:pPr>
        <w:tabs>
          <w:tab w:val="num" w:pos="2214"/>
        </w:tabs>
        <w:ind w:left="2214" w:hanging="180"/>
      </w:pPr>
    </w:lvl>
    <w:lvl w:ilvl="3" w:tplc="0809000F" w:tentative="1">
      <w:start w:val="1"/>
      <w:numFmt w:val="decimal"/>
      <w:lvlText w:val="%4."/>
      <w:lvlJc w:val="left"/>
      <w:pPr>
        <w:tabs>
          <w:tab w:val="num" w:pos="2934"/>
        </w:tabs>
        <w:ind w:left="2934" w:hanging="360"/>
      </w:pPr>
    </w:lvl>
    <w:lvl w:ilvl="4" w:tplc="08090019" w:tentative="1">
      <w:start w:val="1"/>
      <w:numFmt w:val="lowerLetter"/>
      <w:lvlText w:val="%5."/>
      <w:lvlJc w:val="left"/>
      <w:pPr>
        <w:tabs>
          <w:tab w:val="num" w:pos="3654"/>
        </w:tabs>
        <w:ind w:left="3654" w:hanging="360"/>
      </w:pPr>
    </w:lvl>
    <w:lvl w:ilvl="5" w:tplc="0809001B" w:tentative="1">
      <w:start w:val="1"/>
      <w:numFmt w:val="lowerRoman"/>
      <w:lvlText w:val="%6."/>
      <w:lvlJc w:val="right"/>
      <w:pPr>
        <w:tabs>
          <w:tab w:val="num" w:pos="4374"/>
        </w:tabs>
        <w:ind w:left="4374" w:hanging="180"/>
      </w:pPr>
    </w:lvl>
    <w:lvl w:ilvl="6" w:tplc="0809000F" w:tentative="1">
      <w:start w:val="1"/>
      <w:numFmt w:val="decimal"/>
      <w:lvlText w:val="%7."/>
      <w:lvlJc w:val="left"/>
      <w:pPr>
        <w:tabs>
          <w:tab w:val="num" w:pos="5094"/>
        </w:tabs>
        <w:ind w:left="5094" w:hanging="360"/>
      </w:pPr>
    </w:lvl>
    <w:lvl w:ilvl="7" w:tplc="08090019" w:tentative="1">
      <w:start w:val="1"/>
      <w:numFmt w:val="lowerLetter"/>
      <w:lvlText w:val="%8."/>
      <w:lvlJc w:val="left"/>
      <w:pPr>
        <w:tabs>
          <w:tab w:val="num" w:pos="5814"/>
        </w:tabs>
        <w:ind w:left="5814" w:hanging="360"/>
      </w:pPr>
    </w:lvl>
    <w:lvl w:ilvl="8" w:tplc="0809001B" w:tentative="1">
      <w:start w:val="1"/>
      <w:numFmt w:val="lowerRoman"/>
      <w:lvlText w:val="%9."/>
      <w:lvlJc w:val="right"/>
      <w:pPr>
        <w:tabs>
          <w:tab w:val="num" w:pos="6534"/>
        </w:tabs>
        <w:ind w:left="6534" w:hanging="180"/>
      </w:pPr>
    </w:lvl>
  </w:abstractNum>
  <w:num w:numId="1" w16cid:durableId="1392802331">
    <w:abstractNumId w:val="8"/>
  </w:num>
  <w:num w:numId="2" w16cid:durableId="466627826">
    <w:abstractNumId w:val="11"/>
  </w:num>
  <w:num w:numId="3" w16cid:durableId="1508474134">
    <w:abstractNumId w:val="12"/>
  </w:num>
  <w:num w:numId="4" w16cid:durableId="869219065">
    <w:abstractNumId w:val="17"/>
  </w:num>
  <w:num w:numId="5" w16cid:durableId="1240674238">
    <w:abstractNumId w:val="16"/>
  </w:num>
  <w:num w:numId="6" w16cid:durableId="791174200">
    <w:abstractNumId w:val="5"/>
  </w:num>
  <w:num w:numId="7" w16cid:durableId="1221553836">
    <w:abstractNumId w:val="1"/>
  </w:num>
  <w:num w:numId="8" w16cid:durableId="2096389553">
    <w:abstractNumId w:val="20"/>
  </w:num>
  <w:num w:numId="9" w16cid:durableId="198320992">
    <w:abstractNumId w:val="4"/>
  </w:num>
  <w:num w:numId="10" w16cid:durableId="1410809922">
    <w:abstractNumId w:val="2"/>
  </w:num>
  <w:num w:numId="11" w16cid:durableId="862935688">
    <w:abstractNumId w:val="18"/>
  </w:num>
  <w:num w:numId="12" w16cid:durableId="1083719645">
    <w:abstractNumId w:val="0"/>
    <w:lvlOverride w:ilvl="0">
      <w:lvl w:ilvl="0">
        <w:start w:val="1"/>
        <w:numFmt w:val="bullet"/>
        <w:lvlText w:val=""/>
        <w:lvlJc w:val="left"/>
        <w:pPr>
          <w:ind w:left="2061" w:hanging="360"/>
        </w:pPr>
        <w:rPr>
          <w:rFonts w:ascii="Symbol" w:hAnsi="Symbol" w:hint="default"/>
        </w:rPr>
      </w:lvl>
    </w:lvlOverride>
  </w:num>
  <w:num w:numId="13" w16cid:durableId="1052117040">
    <w:abstractNumId w:val="3"/>
  </w:num>
  <w:num w:numId="14" w16cid:durableId="363141505">
    <w:abstractNumId w:val="3"/>
    <w:lvlOverride w:ilvl="0">
      <w:lvl w:ilvl="0">
        <w:start w:val="1"/>
        <w:numFmt w:val="decimal"/>
        <w:lvlText w:val="%1."/>
        <w:lvlJc w:val="left"/>
        <w:pPr>
          <w:ind w:left="2268" w:hanging="567"/>
        </w:pPr>
      </w:lvl>
    </w:lvlOverride>
  </w:num>
  <w:num w:numId="15" w16cid:durableId="496118778">
    <w:abstractNumId w:val="13"/>
  </w:num>
  <w:num w:numId="16" w16cid:durableId="946231125">
    <w:abstractNumId w:val="13"/>
    <w:lvlOverride w:ilvl="0">
      <w:lvl w:ilvl="0">
        <w:start w:val="1"/>
        <w:numFmt w:val="decimal"/>
        <w:lvlText w:val="%1."/>
        <w:lvlJc w:val="left"/>
        <w:pPr>
          <w:ind w:left="2061" w:hanging="360"/>
        </w:pPr>
      </w:lvl>
    </w:lvlOverride>
  </w:num>
  <w:num w:numId="17" w16cid:durableId="847452603">
    <w:abstractNumId w:val="0"/>
    <w:lvlOverride w:ilvl="0">
      <w:lvl w:ilvl="0">
        <w:start w:val="1"/>
        <w:numFmt w:val="bullet"/>
        <w:lvlText w:val=""/>
        <w:lvlJc w:val="left"/>
        <w:pPr>
          <w:ind w:left="1984" w:hanging="283"/>
        </w:pPr>
        <w:rPr>
          <w:rFonts w:ascii="Monotype Sorts" w:hAnsi="Monotype Sorts" w:hint="default"/>
        </w:rPr>
      </w:lvl>
    </w:lvlOverride>
  </w:num>
  <w:num w:numId="18" w16cid:durableId="1922521791">
    <w:abstractNumId w:val="0"/>
    <w:lvlOverride w:ilvl="0">
      <w:lvl w:ilvl="0">
        <w:start w:val="1"/>
        <w:numFmt w:val="bullet"/>
        <w:lvlText w:val=""/>
        <w:lvlJc w:val="left"/>
        <w:pPr>
          <w:ind w:left="1984" w:hanging="283"/>
        </w:pPr>
        <w:rPr>
          <w:rFonts w:ascii="Monotype Sorts" w:hAnsi="Monotype Sorts" w:hint="default"/>
        </w:rPr>
      </w:lvl>
    </w:lvlOverride>
  </w:num>
  <w:num w:numId="19" w16cid:durableId="1768965675">
    <w:abstractNumId w:val="0"/>
    <w:lvlOverride w:ilvl="0">
      <w:lvl w:ilvl="0">
        <w:start w:val="1"/>
        <w:numFmt w:val="bullet"/>
        <w:lvlText w:val=""/>
        <w:lvlJc w:val="left"/>
        <w:pPr>
          <w:ind w:left="283" w:hanging="283"/>
        </w:pPr>
        <w:rPr>
          <w:rFonts w:ascii="Monotype Sorts" w:hAnsi="Monotype Sorts" w:hint="default"/>
        </w:rPr>
      </w:lvl>
    </w:lvlOverride>
  </w:num>
  <w:num w:numId="20" w16cid:durableId="1221751185">
    <w:abstractNumId w:val="0"/>
    <w:lvlOverride w:ilvl="0">
      <w:lvl w:ilvl="0">
        <w:start w:val="1"/>
        <w:numFmt w:val="bullet"/>
        <w:lvlText w:val=""/>
        <w:lvlJc w:val="left"/>
        <w:pPr>
          <w:ind w:left="283" w:hanging="283"/>
        </w:pPr>
        <w:rPr>
          <w:rFonts w:ascii="Monotype Sorts" w:hAnsi="Monotype Sorts" w:hint="default"/>
        </w:rPr>
      </w:lvl>
    </w:lvlOverride>
  </w:num>
  <w:num w:numId="21" w16cid:durableId="1591966970">
    <w:abstractNumId w:val="0"/>
    <w:lvlOverride w:ilvl="0">
      <w:lvl w:ilvl="0">
        <w:start w:val="1"/>
        <w:numFmt w:val="bullet"/>
        <w:lvlText w:val=""/>
        <w:lvlJc w:val="left"/>
        <w:pPr>
          <w:ind w:left="283" w:hanging="283"/>
        </w:pPr>
        <w:rPr>
          <w:rFonts w:ascii="Monotype Sorts" w:hAnsi="Monotype Sorts" w:hint="default"/>
        </w:rPr>
      </w:lvl>
    </w:lvlOverride>
  </w:num>
  <w:num w:numId="22" w16cid:durableId="115293934">
    <w:abstractNumId w:val="0"/>
    <w:lvlOverride w:ilvl="0">
      <w:lvl w:ilvl="0">
        <w:start w:val="1"/>
        <w:numFmt w:val="bullet"/>
        <w:lvlText w:val=""/>
        <w:lvlJc w:val="left"/>
        <w:pPr>
          <w:ind w:left="742" w:hanging="283"/>
        </w:pPr>
        <w:rPr>
          <w:rFonts w:ascii="Monotype Sorts" w:hAnsi="Monotype Sorts" w:hint="default"/>
        </w:rPr>
      </w:lvl>
    </w:lvlOverride>
  </w:num>
  <w:num w:numId="23" w16cid:durableId="1578395502">
    <w:abstractNumId w:val="0"/>
    <w:lvlOverride w:ilvl="0">
      <w:lvl w:ilvl="0">
        <w:start w:val="1"/>
        <w:numFmt w:val="bullet"/>
        <w:lvlText w:val=""/>
        <w:lvlJc w:val="left"/>
        <w:pPr>
          <w:ind w:left="742" w:hanging="283"/>
        </w:pPr>
        <w:rPr>
          <w:rFonts w:ascii="Monotype Sorts" w:hAnsi="Monotype Sorts" w:hint="default"/>
        </w:rPr>
      </w:lvl>
    </w:lvlOverride>
  </w:num>
  <w:num w:numId="24" w16cid:durableId="170998741">
    <w:abstractNumId w:val="0"/>
    <w:lvlOverride w:ilvl="0">
      <w:lvl w:ilvl="0">
        <w:start w:val="1"/>
        <w:numFmt w:val="bullet"/>
        <w:lvlText w:val=""/>
        <w:lvlJc w:val="left"/>
        <w:pPr>
          <w:ind w:left="742" w:hanging="283"/>
        </w:pPr>
        <w:rPr>
          <w:rFonts w:ascii="Monotype Sorts" w:hAnsi="Monotype Sorts" w:hint="default"/>
        </w:rPr>
      </w:lvl>
    </w:lvlOverride>
  </w:num>
  <w:num w:numId="25" w16cid:durableId="91824706">
    <w:abstractNumId w:val="0"/>
    <w:lvlOverride w:ilvl="0">
      <w:lvl w:ilvl="0">
        <w:start w:val="1"/>
        <w:numFmt w:val="bullet"/>
        <w:lvlText w:val=""/>
        <w:lvlJc w:val="left"/>
        <w:pPr>
          <w:ind w:left="742" w:hanging="283"/>
        </w:pPr>
        <w:rPr>
          <w:rFonts w:ascii="Monotype Sorts" w:hAnsi="Monotype Sorts" w:hint="default"/>
        </w:rPr>
      </w:lvl>
    </w:lvlOverride>
  </w:num>
  <w:num w:numId="26" w16cid:durableId="687604256">
    <w:abstractNumId w:val="0"/>
    <w:lvlOverride w:ilvl="0">
      <w:lvl w:ilvl="0">
        <w:start w:val="1"/>
        <w:numFmt w:val="bullet"/>
        <w:lvlText w:val=""/>
        <w:lvlJc w:val="left"/>
        <w:pPr>
          <w:ind w:left="742" w:hanging="283"/>
        </w:pPr>
        <w:rPr>
          <w:rFonts w:ascii="Monotype Sorts" w:hAnsi="Monotype Sorts" w:hint="default"/>
        </w:rPr>
      </w:lvl>
    </w:lvlOverride>
  </w:num>
  <w:num w:numId="27" w16cid:durableId="230779370">
    <w:abstractNumId w:val="19"/>
  </w:num>
  <w:num w:numId="28" w16cid:durableId="934753241">
    <w:abstractNumId w:val="15"/>
  </w:num>
  <w:num w:numId="29" w16cid:durableId="1763989265">
    <w:abstractNumId w:val="21"/>
  </w:num>
  <w:num w:numId="30" w16cid:durableId="2098405530">
    <w:abstractNumId w:val="10"/>
  </w:num>
  <w:num w:numId="31" w16cid:durableId="837575096">
    <w:abstractNumId w:val="7"/>
  </w:num>
  <w:num w:numId="32" w16cid:durableId="857934238">
    <w:abstractNumId w:val="6"/>
  </w:num>
  <w:num w:numId="33" w16cid:durableId="820586606">
    <w:abstractNumId w:val="14"/>
  </w:num>
  <w:num w:numId="34" w16cid:durableId="1257666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93493"/>
    <w:rsid w:val="00000E56"/>
    <w:rsid w:val="00006AAE"/>
    <w:rsid w:val="0001449A"/>
    <w:rsid w:val="000163DB"/>
    <w:rsid w:val="000333A9"/>
    <w:rsid w:val="0004114E"/>
    <w:rsid w:val="00041551"/>
    <w:rsid w:val="00042124"/>
    <w:rsid w:val="0004383B"/>
    <w:rsid w:val="00057899"/>
    <w:rsid w:val="00062FAB"/>
    <w:rsid w:val="0006316F"/>
    <w:rsid w:val="000637CB"/>
    <w:rsid w:val="0007196E"/>
    <w:rsid w:val="000924A2"/>
    <w:rsid w:val="00093493"/>
    <w:rsid w:val="000C066A"/>
    <w:rsid w:val="000C7FAA"/>
    <w:rsid w:val="000F6EE0"/>
    <w:rsid w:val="00101C45"/>
    <w:rsid w:val="0011134D"/>
    <w:rsid w:val="00114405"/>
    <w:rsid w:val="001152D2"/>
    <w:rsid w:val="00115BFB"/>
    <w:rsid w:val="00126BE0"/>
    <w:rsid w:val="00133777"/>
    <w:rsid w:val="0014534C"/>
    <w:rsid w:val="001502AA"/>
    <w:rsid w:val="0015215E"/>
    <w:rsid w:val="00152492"/>
    <w:rsid w:val="00152C47"/>
    <w:rsid w:val="001658B4"/>
    <w:rsid w:val="001758FC"/>
    <w:rsid w:val="00175E62"/>
    <w:rsid w:val="001A2129"/>
    <w:rsid w:val="001B2091"/>
    <w:rsid w:val="001B292B"/>
    <w:rsid w:val="001B3BB9"/>
    <w:rsid w:val="001C68F1"/>
    <w:rsid w:val="001D3B55"/>
    <w:rsid w:val="001D5859"/>
    <w:rsid w:val="001E60B4"/>
    <w:rsid w:val="001E6D69"/>
    <w:rsid w:val="00202623"/>
    <w:rsid w:val="00224D89"/>
    <w:rsid w:val="002313C0"/>
    <w:rsid w:val="00231FB1"/>
    <w:rsid w:val="002329F1"/>
    <w:rsid w:val="002442D1"/>
    <w:rsid w:val="00247D10"/>
    <w:rsid w:val="0025497C"/>
    <w:rsid w:val="00261631"/>
    <w:rsid w:val="002673E6"/>
    <w:rsid w:val="002721CC"/>
    <w:rsid w:val="00276D36"/>
    <w:rsid w:val="002C7864"/>
    <w:rsid w:val="002F704D"/>
    <w:rsid w:val="0031243D"/>
    <w:rsid w:val="003130CC"/>
    <w:rsid w:val="003161F6"/>
    <w:rsid w:val="00321C6D"/>
    <w:rsid w:val="003272D9"/>
    <w:rsid w:val="00331E2D"/>
    <w:rsid w:val="00345844"/>
    <w:rsid w:val="003475BA"/>
    <w:rsid w:val="00351CD4"/>
    <w:rsid w:val="00355C89"/>
    <w:rsid w:val="00357355"/>
    <w:rsid w:val="003669EC"/>
    <w:rsid w:val="00373936"/>
    <w:rsid w:val="00395C53"/>
    <w:rsid w:val="003A2A38"/>
    <w:rsid w:val="003B15EE"/>
    <w:rsid w:val="003B30EB"/>
    <w:rsid w:val="003B4103"/>
    <w:rsid w:val="003B5568"/>
    <w:rsid w:val="003C07B6"/>
    <w:rsid w:val="003C7B97"/>
    <w:rsid w:val="003D636E"/>
    <w:rsid w:val="003E2267"/>
    <w:rsid w:val="003E365E"/>
    <w:rsid w:val="003E7580"/>
    <w:rsid w:val="003F240E"/>
    <w:rsid w:val="003F54E7"/>
    <w:rsid w:val="003F6B1B"/>
    <w:rsid w:val="00403777"/>
    <w:rsid w:val="0040738F"/>
    <w:rsid w:val="0041569D"/>
    <w:rsid w:val="0042283D"/>
    <w:rsid w:val="00430FBE"/>
    <w:rsid w:val="004329B1"/>
    <w:rsid w:val="00434888"/>
    <w:rsid w:val="00440717"/>
    <w:rsid w:val="00441A97"/>
    <w:rsid w:val="004549D2"/>
    <w:rsid w:val="00461D2A"/>
    <w:rsid w:val="00471A2B"/>
    <w:rsid w:val="00475909"/>
    <w:rsid w:val="00476F83"/>
    <w:rsid w:val="00480524"/>
    <w:rsid w:val="00484FC0"/>
    <w:rsid w:val="00486AEF"/>
    <w:rsid w:val="00493345"/>
    <w:rsid w:val="004A6616"/>
    <w:rsid w:val="004B2E81"/>
    <w:rsid w:val="004F3C0C"/>
    <w:rsid w:val="004F7612"/>
    <w:rsid w:val="00501780"/>
    <w:rsid w:val="00520F21"/>
    <w:rsid w:val="00526706"/>
    <w:rsid w:val="00530AA3"/>
    <w:rsid w:val="00541315"/>
    <w:rsid w:val="005429E3"/>
    <w:rsid w:val="00542E2D"/>
    <w:rsid w:val="005452F6"/>
    <w:rsid w:val="00547E4D"/>
    <w:rsid w:val="00557259"/>
    <w:rsid w:val="00581CDF"/>
    <w:rsid w:val="00582605"/>
    <w:rsid w:val="00597CD0"/>
    <w:rsid w:val="005A0BE2"/>
    <w:rsid w:val="005A1725"/>
    <w:rsid w:val="005A18AF"/>
    <w:rsid w:val="005B23B8"/>
    <w:rsid w:val="005B7832"/>
    <w:rsid w:val="005C05C9"/>
    <w:rsid w:val="005C1A06"/>
    <w:rsid w:val="005C5F31"/>
    <w:rsid w:val="005D0528"/>
    <w:rsid w:val="005D54E5"/>
    <w:rsid w:val="005E2E88"/>
    <w:rsid w:val="005F41F4"/>
    <w:rsid w:val="00600AE0"/>
    <w:rsid w:val="00627DED"/>
    <w:rsid w:val="006524C0"/>
    <w:rsid w:val="006624BF"/>
    <w:rsid w:val="00665367"/>
    <w:rsid w:val="00667317"/>
    <w:rsid w:val="00673557"/>
    <w:rsid w:val="00691211"/>
    <w:rsid w:val="006B42FF"/>
    <w:rsid w:val="006C070E"/>
    <w:rsid w:val="006C3FFC"/>
    <w:rsid w:val="006D42F8"/>
    <w:rsid w:val="006F17B9"/>
    <w:rsid w:val="007040EE"/>
    <w:rsid w:val="00704A94"/>
    <w:rsid w:val="0071331F"/>
    <w:rsid w:val="00713917"/>
    <w:rsid w:val="00715CF5"/>
    <w:rsid w:val="007271B2"/>
    <w:rsid w:val="007311FF"/>
    <w:rsid w:val="00736373"/>
    <w:rsid w:val="00736547"/>
    <w:rsid w:val="00736DF5"/>
    <w:rsid w:val="00740EF4"/>
    <w:rsid w:val="00741FC0"/>
    <w:rsid w:val="007444CA"/>
    <w:rsid w:val="007447BA"/>
    <w:rsid w:val="00746E87"/>
    <w:rsid w:val="007471A5"/>
    <w:rsid w:val="00750D71"/>
    <w:rsid w:val="007602A7"/>
    <w:rsid w:val="007611B9"/>
    <w:rsid w:val="007644B5"/>
    <w:rsid w:val="00777D0B"/>
    <w:rsid w:val="00784209"/>
    <w:rsid w:val="00785E95"/>
    <w:rsid w:val="0079494A"/>
    <w:rsid w:val="007B5E8F"/>
    <w:rsid w:val="007C76DC"/>
    <w:rsid w:val="007D2912"/>
    <w:rsid w:val="007F0B92"/>
    <w:rsid w:val="007F1191"/>
    <w:rsid w:val="00801D23"/>
    <w:rsid w:val="0080686A"/>
    <w:rsid w:val="008127D6"/>
    <w:rsid w:val="00843575"/>
    <w:rsid w:val="0085259A"/>
    <w:rsid w:val="00852CDA"/>
    <w:rsid w:val="00853C91"/>
    <w:rsid w:val="008558AC"/>
    <w:rsid w:val="00857A87"/>
    <w:rsid w:val="0087024A"/>
    <w:rsid w:val="00884404"/>
    <w:rsid w:val="00890D02"/>
    <w:rsid w:val="00891962"/>
    <w:rsid w:val="008A0CB4"/>
    <w:rsid w:val="008A434D"/>
    <w:rsid w:val="008A5BF9"/>
    <w:rsid w:val="008B1506"/>
    <w:rsid w:val="008D0259"/>
    <w:rsid w:val="008E0A0C"/>
    <w:rsid w:val="008E60C6"/>
    <w:rsid w:val="008F550C"/>
    <w:rsid w:val="00904A11"/>
    <w:rsid w:val="00914BB7"/>
    <w:rsid w:val="009228E4"/>
    <w:rsid w:val="0092390F"/>
    <w:rsid w:val="00932945"/>
    <w:rsid w:val="00941220"/>
    <w:rsid w:val="009568EC"/>
    <w:rsid w:val="00974ED2"/>
    <w:rsid w:val="00980346"/>
    <w:rsid w:val="00982F07"/>
    <w:rsid w:val="009935B1"/>
    <w:rsid w:val="00993DE9"/>
    <w:rsid w:val="009A378F"/>
    <w:rsid w:val="009A46FB"/>
    <w:rsid w:val="009B6853"/>
    <w:rsid w:val="009E4C24"/>
    <w:rsid w:val="009F25F1"/>
    <w:rsid w:val="009F298C"/>
    <w:rsid w:val="00A02456"/>
    <w:rsid w:val="00A04370"/>
    <w:rsid w:val="00A0457D"/>
    <w:rsid w:val="00A079EB"/>
    <w:rsid w:val="00A1400B"/>
    <w:rsid w:val="00A22F39"/>
    <w:rsid w:val="00A2554F"/>
    <w:rsid w:val="00A27898"/>
    <w:rsid w:val="00A35B42"/>
    <w:rsid w:val="00A52EF5"/>
    <w:rsid w:val="00A557D0"/>
    <w:rsid w:val="00A60B79"/>
    <w:rsid w:val="00A803C2"/>
    <w:rsid w:val="00A92171"/>
    <w:rsid w:val="00A931AD"/>
    <w:rsid w:val="00A94DBC"/>
    <w:rsid w:val="00A97A03"/>
    <w:rsid w:val="00AA59A9"/>
    <w:rsid w:val="00AC0914"/>
    <w:rsid w:val="00AC4E3D"/>
    <w:rsid w:val="00AD5602"/>
    <w:rsid w:val="00AD6307"/>
    <w:rsid w:val="00AE1A4B"/>
    <w:rsid w:val="00B01E27"/>
    <w:rsid w:val="00B10BF5"/>
    <w:rsid w:val="00B20FA7"/>
    <w:rsid w:val="00B22A5C"/>
    <w:rsid w:val="00B321DC"/>
    <w:rsid w:val="00B45C25"/>
    <w:rsid w:val="00B47E49"/>
    <w:rsid w:val="00B5415C"/>
    <w:rsid w:val="00B608DC"/>
    <w:rsid w:val="00B61A0F"/>
    <w:rsid w:val="00B624C4"/>
    <w:rsid w:val="00B632D0"/>
    <w:rsid w:val="00B75D2F"/>
    <w:rsid w:val="00B81708"/>
    <w:rsid w:val="00B85794"/>
    <w:rsid w:val="00B95DB4"/>
    <w:rsid w:val="00BA390F"/>
    <w:rsid w:val="00BB1819"/>
    <w:rsid w:val="00BC1F70"/>
    <w:rsid w:val="00BC3B7A"/>
    <w:rsid w:val="00BC616F"/>
    <w:rsid w:val="00BD0689"/>
    <w:rsid w:val="00BD092D"/>
    <w:rsid w:val="00BD0A96"/>
    <w:rsid w:val="00BD48A9"/>
    <w:rsid w:val="00BD5170"/>
    <w:rsid w:val="00BF63C8"/>
    <w:rsid w:val="00BF7120"/>
    <w:rsid w:val="00BF715E"/>
    <w:rsid w:val="00C01D56"/>
    <w:rsid w:val="00C223EE"/>
    <w:rsid w:val="00C41C10"/>
    <w:rsid w:val="00C47314"/>
    <w:rsid w:val="00C47E97"/>
    <w:rsid w:val="00C50926"/>
    <w:rsid w:val="00C5325D"/>
    <w:rsid w:val="00C540E7"/>
    <w:rsid w:val="00C67A2A"/>
    <w:rsid w:val="00C7069E"/>
    <w:rsid w:val="00C75A3B"/>
    <w:rsid w:val="00C77D8D"/>
    <w:rsid w:val="00C83349"/>
    <w:rsid w:val="00C93574"/>
    <w:rsid w:val="00C93A66"/>
    <w:rsid w:val="00CA565B"/>
    <w:rsid w:val="00CB3493"/>
    <w:rsid w:val="00CC135E"/>
    <w:rsid w:val="00CC30A6"/>
    <w:rsid w:val="00CD19FF"/>
    <w:rsid w:val="00CD1E63"/>
    <w:rsid w:val="00CD7CD0"/>
    <w:rsid w:val="00CE1510"/>
    <w:rsid w:val="00CE1C43"/>
    <w:rsid w:val="00CE452F"/>
    <w:rsid w:val="00CE723E"/>
    <w:rsid w:val="00D038FB"/>
    <w:rsid w:val="00D25662"/>
    <w:rsid w:val="00D31135"/>
    <w:rsid w:val="00D40B9E"/>
    <w:rsid w:val="00D41EA8"/>
    <w:rsid w:val="00D42CD1"/>
    <w:rsid w:val="00D4624C"/>
    <w:rsid w:val="00D47120"/>
    <w:rsid w:val="00D52EC3"/>
    <w:rsid w:val="00D64343"/>
    <w:rsid w:val="00D67275"/>
    <w:rsid w:val="00D72AD2"/>
    <w:rsid w:val="00D72FC8"/>
    <w:rsid w:val="00D769E7"/>
    <w:rsid w:val="00DA58C5"/>
    <w:rsid w:val="00DB79AC"/>
    <w:rsid w:val="00DD03DD"/>
    <w:rsid w:val="00DD0F2E"/>
    <w:rsid w:val="00DE1796"/>
    <w:rsid w:val="00DF1E29"/>
    <w:rsid w:val="00E03EDF"/>
    <w:rsid w:val="00E12555"/>
    <w:rsid w:val="00E12CCF"/>
    <w:rsid w:val="00E1301B"/>
    <w:rsid w:val="00E13990"/>
    <w:rsid w:val="00E42CF5"/>
    <w:rsid w:val="00E438D1"/>
    <w:rsid w:val="00E5426E"/>
    <w:rsid w:val="00E55223"/>
    <w:rsid w:val="00E55D71"/>
    <w:rsid w:val="00E5636C"/>
    <w:rsid w:val="00E6122D"/>
    <w:rsid w:val="00E61F45"/>
    <w:rsid w:val="00E73AF8"/>
    <w:rsid w:val="00E77CDB"/>
    <w:rsid w:val="00E84393"/>
    <w:rsid w:val="00E93002"/>
    <w:rsid w:val="00E94C8D"/>
    <w:rsid w:val="00EA7B08"/>
    <w:rsid w:val="00EC5241"/>
    <w:rsid w:val="00EC5F5D"/>
    <w:rsid w:val="00EC729C"/>
    <w:rsid w:val="00EE0A4A"/>
    <w:rsid w:val="00EE208F"/>
    <w:rsid w:val="00EF3927"/>
    <w:rsid w:val="00EF3A2C"/>
    <w:rsid w:val="00EF5A01"/>
    <w:rsid w:val="00EF6DC6"/>
    <w:rsid w:val="00F105CE"/>
    <w:rsid w:val="00F1183B"/>
    <w:rsid w:val="00F25BCA"/>
    <w:rsid w:val="00F26F4B"/>
    <w:rsid w:val="00F50762"/>
    <w:rsid w:val="00F559FD"/>
    <w:rsid w:val="00F579C8"/>
    <w:rsid w:val="00F57BBF"/>
    <w:rsid w:val="00F65D88"/>
    <w:rsid w:val="00F67A57"/>
    <w:rsid w:val="00F72F8B"/>
    <w:rsid w:val="00F83D55"/>
    <w:rsid w:val="00F84E67"/>
    <w:rsid w:val="00F9387A"/>
    <w:rsid w:val="00F94F06"/>
    <w:rsid w:val="00FC17F8"/>
    <w:rsid w:val="00FD7DF4"/>
    <w:rsid w:val="00FE4459"/>
    <w:rsid w:val="00FE5FE9"/>
    <w:rsid w:val="00FF0434"/>
    <w:rsid w:val="00FF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0E04E"/>
  <w15:docId w15:val="{C43C98E2-C85A-4727-B58D-974C5565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FBE"/>
    <w:rPr>
      <w:snapToGrid w:val="0"/>
      <w:sz w:val="24"/>
      <w:lang w:val="fr-FR" w:eastAsia="en-US"/>
    </w:rPr>
  </w:style>
  <w:style w:type="paragraph" w:styleId="Heading1">
    <w:name w:val="heading 1"/>
    <w:basedOn w:val="Normal"/>
    <w:next w:val="Normal"/>
    <w:qFormat/>
    <w:rsid w:val="00430FBE"/>
    <w:pPr>
      <w:keepNext/>
      <w:spacing w:before="240" w:after="60"/>
      <w:outlineLvl w:val="0"/>
    </w:pPr>
    <w:rPr>
      <w:rFonts w:ascii="Arial" w:hAnsi="Arial"/>
      <w:b/>
      <w:kern w:val="28"/>
      <w:sz w:val="28"/>
    </w:rPr>
  </w:style>
  <w:style w:type="paragraph" w:styleId="Heading3">
    <w:name w:val="heading 3"/>
    <w:basedOn w:val="Heading1"/>
    <w:next w:val="Normal"/>
    <w:qFormat/>
    <w:rsid w:val="00430FBE"/>
    <w:pPr>
      <w:keepLines/>
      <w:tabs>
        <w:tab w:val="left" w:pos="2552"/>
      </w:tabs>
      <w:spacing w:before="360" w:after="240"/>
      <w:ind w:left="1701"/>
      <w:outlineLvl w:val="2"/>
    </w:pPr>
    <w:rPr>
      <w:rFonts w:ascii="Optima" w:hAnsi="Optima"/>
      <w:cap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front">
    <w:name w:val="title_front"/>
    <w:basedOn w:val="Normal"/>
    <w:rsid w:val="00430FBE"/>
    <w:pPr>
      <w:spacing w:before="240"/>
      <w:ind w:left="1701"/>
      <w:jc w:val="right"/>
    </w:pPr>
    <w:rPr>
      <w:rFonts w:ascii="Optima" w:hAnsi="Optima"/>
      <w:b/>
      <w:sz w:val="28"/>
      <w:lang w:val="en-GB"/>
    </w:rPr>
  </w:style>
  <w:style w:type="paragraph" w:styleId="Header">
    <w:name w:val="header"/>
    <w:basedOn w:val="Normal"/>
    <w:rsid w:val="00430FBE"/>
    <w:pPr>
      <w:tabs>
        <w:tab w:val="center" w:pos="4320"/>
        <w:tab w:val="right" w:pos="8640"/>
      </w:tabs>
    </w:pPr>
  </w:style>
  <w:style w:type="paragraph" w:styleId="Footer">
    <w:name w:val="footer"/>
    <w:basedOn w:val="Normal"/>
    <w:rsid w:val="00430FBE"/>
    <w:pPr>
      <w:tabs>
        <w:tab w:val="center" w:pos="4320"/>
        <w:tab w:val="right" w:pos="8640"/>
      </w:tabs>
    </w:pPr>
  </w:style>
  <w:style w:type="paragraph" w:customStyle="1" w:styleId="List1">
    <w:name w:val="List1"/>
    <w:basedOn w:val="Normal"/>
    <w:rsid w:val="00430FBE"/>
    <w:pPr>
      <w:spacing w:before="240"/>
      <w:ind w:left="2268" w:hanging="567"/>
      <w:jc w:val="both"/>
    </w:pPr>
    <w:rPr>
      <w:rFonts w:ascii="Optima" w:hAnsi="Optima"/>
      <w:sz w:val="22"/>
      <w:lang w:val="en-GB"/>
    </w:rPr>
  </w:style>
  <w:style w:type="paragraph" w:customStyle="1" w:styleId="bulletbol">
    <w:name w:val="bullet_bol"/>
    <w:basedOn w:val="Normal"/>
    <w:rsid w:val="00430FBE"/>
    <w:pPr>
      <w:tabs>
        <w:tab w:val="left" w:pos="2260"/>
      </w:tabs>
      <w:spacing w:before="120"/>
      <w:ind w:left="2061" w:hanging="360"/>
      <w:jc w:val="both"/>
    </w:pPr>
    <w:rPr>
      <w:rFonts w:ascii="Optima" w:hAnsi="Optima"/>
      <w:sz w:val="22"/>
      <w:lang w:val="en-GB"/>
    </w:rPr>
  </w:style>
  <w:style w:type="paragraph" w:customStyle="1" w:styleId="internormal">
    <w:name w:val="internormal"/>
    <w:basedOn w:val="Normal"/>
    <w:rsid w:val="00430FBE"/>
    <w:pPr>
      <w:ind w:left="1701"/>
      <w:jc w:val="both"/>
    </w:pPr>
    <w:rPr>
      <w:rFonts w:ascii="Optima" w:hAnsi="Optima"/>
      <w:sz w:val="22"/>
      <w:lang w:val="en-GB"/>
    </w:rPr>
  </w:style>
  <w:style w:type="paragraph" w:customStyle="1" w:styleId="normaltableau">
    <w:name w:val="normal_tableau"/>
    <w:basedOn w:val="Normal"/>
    <w:rsid w:val="00430FBE"/>
    <w:pPr>
      <w:spacing w:before="120" w:after="120"/>
      <w:jc w:val="both"/>
    </w:pPr>
    <w:rPr>
      <w:rFonts w:ascii="Optima" w:hAnsi="Optima"/>
      <w:sz w:val="22"/>
      <w:lang w:val="en-GB"/>
    </w:rPr>
  </w:style>
  <w:style w:type="paragraph" w:styleId="FootnoteText">
    <w:name w:val="footnote text"/>
    <w:basedOn w:val="Normal"/>
    <w:semiHidden/>
    <w:rsid w:val="00430FBE"/>
    <w:rPr>
      <w:sz w:val="20"/>
    </w:rPr>
  </w:style>
  <w:style w:type="character" w:styleId="FootnoteReference">
    <w:name w:val="footnote reference"/>
    <w:basedOn w:val="DefaultParagraphFont"/>
    <w:semiHidden/>
    <w:rsid w:val="00430FBE"/>
    <w:rPr>
      <w:vertAlign w:val="superscript"/>
    </w:rPr>
  </w:style>
  <w:style w:type="paragraph" w:styleId="DocumentMap">
    <w:name w:val="Document Map"/>
    <w:basedOn w:val="Normal"/>
    <w:semiHidden/>
    <w:rsid w:val="00430FBE"/>
    <w:pPr>
      <w:shd w:val="clear" w:color="auto" w:fill="000080"/>
    </w:pPr>
    <w:rPr>
      <w:rFonts w:ascii="Tahoma" w:hAnsi="Tahoma"/>
    </w:rPr>
  </w:style>
  <w:style w:type="character" w:styleId="PageNumber">
    <w:name w:val="page number"/>
    <w:basedOn w:val="DefaultParagraphFont"/>
    <w:rsid w:val="00430FBE"/>
  </w:style>
  <w:style w:type="paragraph" w:styleId="BalloonText">
    <w:name w:val="Balloon Text"/>
    <w:basedOn w:val="Normal"/>
    <w:semiHidden/>
    <w:rsid w:val="007447BA"/>
    <w:rPr>
      <w:rFonts w:ascii="Tahoma" w:hAnsi="Tahoma" w:cs="Tahoma"/>
      <w:sz w:val="16"/>
      <w:szCs w:val="16"/>
    </w:rPr>
  </w:style>
  <w:style w:type="paragraph" w:customStyle="1" w:styleId="Annexetitle">
    <w:name w:val="Annexe_title"/>
    <w:basedOn w:val="Heading1"/>
    <w:next w:val="Normal"/>
    <w:autoRedefine/>
    <w:rsid w:val="003C07B6"/>
    <w:pPr>
      <w:keepNext w:val="0"/>
      <w:pageBreakBefore/>
      <w:tabs>
        <w:tab w:val="left" w:pos="1701"/>
        <w:tab w:val="left" w:pos="2552"/>
      </w:tabs>
      <w:spacing w:after="240"/>
      <w:jc w:val="center"/>
      <w:outlineLvl w:val="9"/>
    </w:pPr>
    <w:rPr>
      <w:rFonts w:ascii="Optima" w:hAnsi="Optima"/>
      <w:caps/>
      <w:snapToGrid/>
      <w:kern w:val="0"/>
      <w:sz w:val="32"/>
      <w:lang w:val="en-GB" w:eastAsia="en-GB"/>
    </w:rPr>
  </w:style>
  <w:style w:type="table" w:styleId="TableGrid">
    <w:name w:val="Table Grid"/>
    <w:basedOn w:val="TableNormal"/>
    <w:rsid w:val="00E7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81708"/>
    <w:rPr>
      <w:sz w:val="16"/>
      <w:szCs w:val="16"/>
    </w:rPr>
  </w:style>
  <w:style w:type="paragraph" w:styleId="CommentText">
    <w:name w:val="annotation text"/>
    <w:basedOn w:val="Normal"/>
    <w:link w:val="CommentTextChar"/>
    <w:rsid w:val="00B81708"/>
    <w:rPr>
      <w:sz w:val="20"/>
    </w:rPr>
  </w:style>
  <w:style w:type="character" w:customStyle="1" w:styleId="CommentTextChar">
    <w:name w:val="Comment Text Char"/>
    <w:basedOn w:val="DefaultParagraphFont"/>
    <w:link w:val="CommentText"/>
    <w:rsid w:val="00B81708"/>
    <w:rPr>
      <w:snapToGrid w:val="0"/>
      <w:lang w:val="fr-FR" w:eastAsia="en-US"/>
    </w:rPr>
  </w:style>
  <w:style w:type="paragraph" w:styleId="CommentSubject">
    <w:name w:val="annotation subject"/>
    <w:basedOn w:val="CommentText"/>
    <w:next w:val="CommentText"/>
    <w:link w:val="CommentSubjectChar"/>
    <w:rsid w:val="00B81708"/>
    <w:rPr>
      <w:b/>
      <w:bCs/>
    </w:rPr>
  </w:style>
  <w:style w:type="character" w:customStyle="1" w:styleId="CommentSubjectChar">
    <w:name w:val="Comment Subject Char"/>
    <w:basedOn w:val="CommentTextChar"/>
    <w:link w:val="CommentSubject"/>
    <w:rsid w:val="00B81708"/>
    <w:rPr>
      <w:b/>
      <w:bCs/>
      <w:snapToGrid w:val="0"/>
      <w:lang w:val="fr-FR" w:eastAsia="en-US"/>
    </w:rPr>
  </w:style>
  <w:style w:type="paragraph" w:styleId="ListParagraph">
    <w:name w:val="List Paragraph"/>
    <w:basedOn w:val="Normal"/>
    <w:uiPriority w:val="34"/>
    <w:qFormat/>
    <w:rsid w:val="00853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F916A18B41F4445A2443D53B8D4E313" ma:contentTypeVersion="3" ma:contentTypeDescription="Create a new document." ma:contentTypeScope="" ma:versionID="0787936fda70af4c63f1275929bd2354">
  <xsd:schema xmlns:xsd="http://www.w3.org/2001/XMLSchema" xmlns:xs="http://www.w3.org/2001/XMLSchema" xmlns:p="http://schemas.microsoft.com/office/2006/metadata/properties" xmlns:ns2="cf03a092-8254-4988-af40-65d375e11f33" targetNamespace="http://schemas.microsoft.com/office/2006/metadata/properties" ma:root="true" ma:fieldsID="a264798af6a37b21565e0b0121ec9cd2" ns2:_="">
    <xsd:import namespace="cf03a092-8254-4988-af40-65d375e11f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3a092-8254-4988-af40-65d375e11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2011A-2BE0-4682-9E52-309412D75B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6A6F2-2B2D-4881-AA0A-1DF9D44BC81E}">
  <ds:schemaRefs>
    <ds:schemaRef ds:uri="http://schemas.microsoft.com/sharepoint/v3/contenttype/forms"/>
  </ds:schemaRefs>
</ds:datastoreItem>
</file>

<file path=customXml/itemProps3.xml><?xml version="1.0" encoding="utf-8"?>
<ds:datastoreItem xmlns:ds="http://schemas.openxmlformats.org/officeDocument/2006/customXml" ds:itemID="{E241C44C-FD3E-41B7-8224-3D99F48DFAFB}">
  <ds:schemaRefs>
    <ds:schemaRef ds:uri="http://schemas.openxmlformats.org/officeDocument/2006/bibliography"/>
  </ds:schemaRefs>
</ds:datastoreItem>
</file>

<file path=customXml/itemProps4.xml><?xml version="1.0" encoding="utf-8"?>
<ds:datastoreItem xmlns:ds="http://schemas.openxmlformats.org/officeDocument/2006/customXml" ds:itemID="{485D882E-FCDD-4ADD-9A02-32DE2061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3a092-8254-4988-af40-65d375e11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 Annex 4_Evaluation Report Template</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Evaluation Report</vt:lpstr>
    </vt:vector>
  </TitlesOfParts>
  <Company>MITA</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dc:title>
  <dc:subject>Department of Contracts</dc:subject>
  <dc:creator>info.contracts@gov.mt</dc:creator>
  <dc:description>RG</dc:description>
  <cp:lastModifiedBy>Cole Jessica at MFI</cp:lastModifiedBy>
  <cp:revision>2</cp:revision>
  <cp:lastPrinted>2015-07-29T10:42:00Z</cp:lastPrinted>
  <dcterms:created xsi:type="dcterms:W3CDTF">2026-05-11T15:28:00Z</dcterms:created>
  <dcterms:modified xsi:type="dcterms:W3CDTF">2026-05-11T15:28:00Z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0x0101006F916A18B41F4445A2443D53B8D4E313</vt:lpwstr>
  </property>
</Properties>
</file>